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FDBD" w14:textId="77777777" w:rsidR="00FF4246" w:rsidRPr="00406940" w:rsidRDefault="00FF4246" w:rsidP="00FF4246">
      <w:pPr>
        <w:spacing w:after="0" w:line="240" w:lineRule="auto"/>
        <w:rPr>
          <w:rFonts w:ascii="Lato" w:hAnsi="Lato"/>
          <w:b/>
          <w:bCs/>
        </w:rPr>
      </w:pPr>
      <w:r w:rsidRPr="00406940">
        <w:rPr>
          <w:rFonts w:ascii="Lato" w:hAnsi="Lato"/>
          <w:b/>
          <w:bCs/>
        </w:rPr>
        <w:t>Statement of Common Ground</w:t>
      </w:r>
    </w:p>
    <w:p w14:paraId="196F44B5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5CAB8FC5" w14:textId="4D46ECC1" w:rsidR="00FF4246" w:rsidRDefault="00FF4246" w:rsidP="00FF4246">
      <w:pPr>
        <w:spacing w:after="0" w:line="240" w:lineRule="auto"/>
        <w:rPr>
          <w:rFonts w:ascii="Lato" w:hAnsi="Lato"/>
        </w:rPr>
      </w:pPr>
      <w:r w:rsidRPr="00406940">
        <w:rPr>
          <w:rFonts w:ascii="Lato" w:hAnsi="Lato"/>
          <w:b/>
          <w:bCs/>
        </w:rPr>
        <w:t>Between:</w:t>
      </w:r>
      <w:r w:rsidRPr="00406940">
        <w:rPr>
          <w:rFonts w:ascii="Lato" w:hAnsi="Lato"/>
        </w:rPr>
        <w:t xml:space="preserve"> </w:t>
      </w:r>
      <w:r w:rsidRPr="00B320B7">
        <w:rPr>
          <w:rFonts w:ascii="Lato" w:hAnsi="Lato"/>
        </w:rPr>
        <w:t xml:space="preserve">Sevenoaks District Council </w:t>
      </w:r>
      <w:r>
        <w:rPr>
          <w:rFonts w:ascii="Lato" w:hAnsi="Lato"/>
        </w:rPr>
        <w:t xml:space="preserve">(SDC) </w:t>
      </w:r>
      <w:r w:rsidRPr="00B320B7">
        <w:rPr>
          <w:rFonts w:ascii="Lato" w:hAnsi="Lato"/>
        </w:rPr>
        <w:t xml:space="preserve">and </w:t>
      </w:r>
      <w:r w:rsidR="007E1090">
        <w:rPr>
          <w:rFonts w:ascii="Lato" w:hAnsi="Lato"/>
        </w:rPr>
        <w:t xml:space="preserve">the </w:t>
      </w:r>
      <w:r>
        <w:rPr>
          <w:rFonts w:ascii="Lato" w:hAnsi="Lato"/>
        </w:rPr>
        <w:t>Environment Agency (EA)</w:t>
      </w:r>
    </w:p>
    <w:p w14:paraId="3CB7655D" w14:textId="77777777" w:rsidR="00FF4246" w:rsidRDefault="00FF4246" w:rsidP="00FF4246">
      <w:pPr>
        <w:spacing w:after="0" w:line="240" w:lineRule="auto"/>
        <w:rPr>
          <w:rFonts w:ascii="Lato" w:hAnsi="Lato"/>
        </w:rPr>
      </w:pPr>
    </w:p>
    <w:p w14:paraId="62B870BB" w14:textId="2E124D4B" w:rsidR="00FF4246" w:rsidRPr="00406940" w:rsidRDefault="00FF4246" w:rsidP="00FF4246">
      <w:pPr>
        <w:spacing w:after="0" w:line="240" w:lineRule="auto"/>
        <w:rPr>
          <w:rFonts w:ascii="Lato" w:hAnsi="Lato"/>
        </w:rPr>
      </w:pPr>
      <w:r w:rsidRPr="00406940">
        <w:rPr>
          <w:rFonts w:ascii="Lato" w:hAnsi="Lato"/>
          <w:b/>
          <w:bCs/>
        </w:rPr>
        <w:t>Relating to:</w:t>
      </w:r>
      <w:r w:rsidRPr="00406940">
        <w:rPr>
          <w:rFonts w:ascii="Lato" w:hAnsi="Lato"/>
        </w:rPr>
        <w:t xml:space="preserve"> </w:t>
      </w:r>
      <w:r w:rsidR="009E3017" w:rsidRPr="009E3017">
        <w:rPr>
          <w:rFonts w:ascii="Lato" w:hAnsi="Lato"/>
        </w:rPr>
        <w:t>Flood risk management, water environment protection, and environmental infrastructure</w:t>
      </w:r>
      <w:r w:rsidR="009E3017">
        <w:rPr>
          <w:rFonts w:ascii="Lato" w:hAnsi="Lato"/>
        </w:rPr>
        <w:t xml:space="preserve"> </w:t>
      </w:r>
      <w:r>
        <w:rPr>
          <w:rFonts w:ascii="Lato" w:hAnsi="Lato"/>
        </w:rPr>
        <w:t>to support the Sevenoaks District Local Plan and supporting Infrastructure Delivery Plan</w:t>
      </w:r>
    </w:p>
    <w:p w14:paraId="58C9AEDE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4C465AEE" w14:textId="77777777" w:rsidR="00FF4246" w:rsidRPr="00406940" w:rsidRDefault="00FF4246" w:rsidP="00FF4246">
      <w:pPr>
        <w:spacing w:after="0" w:line="240" w:lineRule="auto"/>
        <w:rPr>
          <w:rFonts w:ascii="Lato" w:hAnsi="Lato"/>
          <w:b/>
          <w:bCs/>
        </w:rPr>
      </w:pPr>
      <w:r w:rsidRPr="00406940">
        <w:rPr>
          <w:rFonts w:ascii="Lato" w:hAnsi="Lato"/>
          <w:b/>
          <w:bCs/>
        </w:rPr>
        <w:t xml:space="preserve">1. </w:t>
      </w:r>
      <w:r>
        <w:rPr>
          <w:rFonts w:ascii="Lato" w:hAnsi="Lato"/>
          <w:b/>
          <w:bCs/>
        </w:rPr>
        <w:tab/>
      </w:r>
      <w:r w:rsidRPr="00406940">
        <w:rPr>
          <w:rFonts w:ascii="Lato" w:hAnsi="Lato"/>
          <w:b/>
          <w:bCs/>
        </w:rPr>
        <w:t>Purpose of this Statement</w:t>
      </w:r>
    </w:p>
    <w:p w14:paraId="421B45F6" w14:textId="77777777" w:rsidR="00FF4246" w:rsidRDefault="00FF4246" w:rsidP="00FF4246">
      <w:pPr>
        <w:spacing w:after="0" w:line="240" w:lineRule="auto"/>
        <w:rPr>
          <w:rFonts w:ascii="Lato" w:hAnsi="Lato"/>
        </w:rPr>
      </w:pPr>
    </w:p>
    <w:p w14:paraId="2B57BE9E" w14:textId="47EB6F18" w:rsidR="00FF4246" w:rsidRPr="00406940" w:rsidRDefault="00FF4246" w:rsidP="00FF4246">
      <w:pPr>
        <w:spacing w:after="0" w:line="240" w:lineRule="auto"/>
        <w:ind w:left="720" w:hanging="720"/>
        <w:rPr>
          <w:rFonts w:ascii="Lato" w:hAnsi="Lato"/>
        </w:rPr>
      </w:pPr>
      <w:r>
        <w:rPr>
          <w:rFonts w:ascii="Lato" w:hAnsi="Lato"/>
        </w:rPr>
        <w:t>1.1</w:t>
      </w:r>
      <w:r>
        <w:rPr>
          <w:rFonts w:ascii="Lato" w:hAnsi="Lato"/>
        </w:rPr>
        <w:tab/>
      </w:r>
      <w:r w:rsidRPr="00406940">
        <w:rPr>
          <w:rFonts w:ascii="Lato" w:hAnsi="Lato"/>
        </w:rPr>
        <w:t xml:space="preserve">This Statement of Common Ground records the shared understanding between </w:t>
      </w:r>
      <w:r>
        <w:rPr>
          <w:rFonts w:ascii="Lato" w:hAnsi="Lato"/>
        </w:rPr>
        <w:t>Sevenoaks District Council (SDC)</w:t>
      </w:r>
      <w:r w:rsidRPr="00406940">
        <w:rPr>
          <w:rFonts w:ascii="Lato" w:hAnsi="Lato"/>
        </w:rPr>
        <w:t xml:space="preserve"> and</w:t>
      </w:r>
      <w:r>
        <w:rPr>
          <w:rFonts w:ascii="Lato" w:hAnsi="Lato"/>
        </w:rPr>
        <w:t xml:space="preserve"> </w:t>
      </w:r>
      <w:r w:rsidR="007E1090">
        <w:rPr>
          <w:rFonts w:ascii="Lato" w:hAnsi="Lato"/>
        </w:rPr>
        <w:t xml:space="preserve">the </w:t>
      </w:r>
      <w:r w:rsidR="009E3017">
        <w:rPr>
          <w:rFonts w:ascii="Lato" w:hAnsi="Lato"/>
        </w:rPr>
        <w:t xml:space="preserve">Environment Agency (EA) </w:t>
      </w:r>
      <w:r w:rsidRPr="00406940">
        <w:rPr>
          <w:rFonts w:ascii="Lato" w:hAnsi="Lato"/>
        </w:rPr>
        <w:t>regarding</w:t>
      </w:r>
      <w:r>
        <w:rPr>
          <w:rFonts w:ascii="Lato" w:hAnsi="Lato"/>
        </w:rPr>
        <w:t xml:space="preserve"> </w:t>
      </w:r>
      <w:r w:rsidR="009E3017">
        <w:rPr>
          <w:rFonts w:ascii="Lato" w:hAnsi="Lato"/>
        </w:rPr>
        <w:t>the f</w:t>
      </w:r>
      <w:r w:rsidR="009E3017" w:rsidRPr="009E3017">
        <w:rPr>
          <w:rFonts w:ascii="Lato" w:hAnsi="Lato"/>
        </w:rPr>
        <w:t>lood risk management, water environment protection, and environmental infrastructure</w:t>
      </w:r>
      <w:r w:rsidR="009E3017">
        <w:rPr>
          <w:rFonts w:ascii="Lato" w:hAnsi="Lato"/>
        </w:rPr>
        <w:t xml:space="preserve"> </w:t>
      </w:r>
      <w:r>
        <w:rPr>
          <w:rFonts w:ascii="Lato" w:hAnsi="Lato"/>
        </w:rPr>
        <w:t xml:space="preserve">required to support the level and distribution of growth proposed in the Sevenoaks District </w:t>
      </w:r>
      <w:r w:rsidRPr="00406940">
        <w:rPr>
          <w:rFonts w:ascii="Lato" w:hAnsi="Lato"/>
        </w:rPr>
        <w:t xml:space="preserve">Local Plan. It </w:t>
      </w:r>
      <w:r>
        <w:rPr>
          <w:rFonts w:ascii="Lato" w:hAnsi="Lato"/>
        </w:rPr>
        <w:t xml:space="preserve">provides evidence of ongoing engagement and collaboration and supports the Infrastructure Delivery Plan by confirming </w:t>
      </w:r>
      <w:r w:rsidRPr="00406940">
        <w:rPr>
          <w:rFonts w:ascii="Lato" w:hAnsi="Lato"/>
        </w:rPr>
        <w:t>areas of agreement and identifying any matters where further work is required.</w:t>
      </w:r>
    </w:p>
    <w:p w14:paraId="60387B7A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71E5ED7B" w14:textId="77777777" w:rsidR="00FF4246" w:rsidRPr="00406940" w:rsidRDefault="00FF4246" w:rsidP="00FF4246">
      <w:pPr>
        <w:spacing w:after="0" w:line="240" w:lineRule="auto"/>
        <w:rPr>
          <w:rFonts w:ascii="Lato" w:hAnsi="Lato"/>
          <w:b/>
          <w:bCs/>
        </w:rPr>
      </w:pPr>
      <w:r w:rsidRPr="00406940">
        <w:rPr>
          <w:rFonts w:ascii="Lato" w:hAnsi="Lato"/>
          <w:b/>
          <w:bCs/>
        </w:rPr>
        <w:t xml:space="preserve">2. </w:t>
      </w:r>
      <w:r>
        <w:rPr>
          <w:rFonts w:ascii="Lato" w:hAnsi="Lato"/>
          <w:b/>
          <w:bCs/>
        </w:rPr>
        <w:tab/>
      </w:r>
      <w:r w:rsidRPr="00406940">
        <w:rPr>
          <w:rFonts w:ascii="Lato" w:hAnsi="Lato"/>
          <w:b/>
          <w:bCs/>
        </w:rPr>
        <w:t>Roles and Responsibilities</w:t>
      </w:r>
    </w:p>
    <w:p w14:paraId="1CD472AF" w14:textId="77777777" w:rsidR="00FF4246" w:rsidRPr="00406940" w:rsidRDefault="00FF4246" w:rsidP="00FF4246">
      <w:pPr>
        <w:spacing w:after="0" w:line="240" w:lineRule="auto"/>
        <w:ind w:left="720"/>
        <w:rPr>
          <w:rFonts w:ascii="Lato" w:hAnsi="Lato"/>
        </w:rPr>
      </w:pPr>
    </w:p>
    <w:p w14:paraId="76FFD680" w14:textId="4FD4ECC7" w:rsidR="009E3017" w:rsidRDefault="00FF4246" w:rsidP="00FF4246">
      <w:pPr>
        <w:pStyle w:val="ListParagraph"/>
        <w:numPr>
          <w:ilvl w:val="1"/>
          <w:numId w:val="4"/>
        </w:numPr>
        <w:spacing w:after="0" w:line="240" w:lineRule="auto"/>
        <w:ind w:left="709" w:hanging="709"/>
        <w:rPr>
          <w:rFonts w:ascii="Lato" w:hAnsi="Lato"/>
        </w:rPr>
      </w:pPr>
      <w:r w:rsidRPr="00866641">
        <w:rPr>
          <w:rFonts w:ascii="Lato" w:hAnsi="Lato"/>
        </w:rPr>
        <w:t>SDC is responsible for preparing the Local Plan and Infrastructure Delivery Plan, identifying infrastructure needs arising from growth, and securing delivery through planning policy and developer contributions.</w:t>
      </w:r>
      <w:r w:rsidR="009E3017">
        <w:rPr>
          <w:rFonts w:ascii="Lato" w:hAnsi="Lato"/>
        </w:rPr>
        <w:br/>
      </w:r>
    </w:p>
    <w:p w14:paraId="0E957E99" w14:textId="0B4EA71B" w:rsidR="00FF4246" w:rsidRPr="009E3017" w:rsidRDefault="009E3017" w:rsidP="00FF4246">
      <w:pPr>
        <w:pStyle w:val="ListParagraph"/>
        <w:numPr>
          <w:ilvl w:val="1"/>
          <w:numId w:val="4"/>
        </w:numPr>
        <w:spacing w:after="0" w:line="240" w:lineRule="auto"/>
        <w:ind w:left="709" w:hanging="709"/>
        <w:rPr>
          <w:rFonts w:ascii="Lato" w:hAnsi="Lato"/>
        </w:rPr>
      </w:pPr>
      <w:r w:rsidRPr="009E3017">
        <w:rPr>
          <w:rFonts w:ascii="Lato" w:hAnsi="Lato"/>
        </w:rPr>
        <w:t xml:space="preserve">The </w:t>
      </w:r>
      <w:r w:rsidR="007E1090">
        <w:rPr>
          <w:rFonts w:ascii="Lato" w:hAnsi="Lato"/>
        </w:rPr>
        <w:t>EA</w:t>
      </w:r>
      <w:r w:rsidRPr="009E3017">
        <w:rPr>
          <w:rFonts w:ascii="Lato" w:hAnsi="Lato"/>
        </w:rPr>
        <w:t xml:space="preserve"> is a non-departmental public body responsible for protecting and improving the environment in England. It is a statutory consultee in the planning system, with responsibilities including the management of flood risk, regulation of environmental impacts, and oversight of water resources. The Agency plays a key role in advising on the suitability of development, safeguarding water quality, and supporting the sustainable management of natural assets in the context of plan-making and infrastructure delivery.</w:t>
      </w:r>
      <w:r w:rsidRPr="009E3017">
        <w:rPr>
          <w:rFonts w:ascii="Lato" w:hAnsi="Lato"/>
        </w:rPr>
        <w:br/>
      </w:r>
    </w:p>
    <w:p w14:paraId="18267FA3" w14:textId="77777777" w:rsidR="00FF4246" w:rsidRPr="00406940" w:rsidRDefault="00FF4246" w:rsidP="00FF4246">
      <w:pPr>
        <w:spacing w:after="0" w:line="240" w:lineRule="auto"/>
        <w:rPr>
          <w:rFonts w:ascii="Lato" w:hAnsi="Lato"/>
          <w:b/>
          <w:bCs/>
        </w:rPr>
      </w:pPr>
      <w:r w:rsidRPr="00406940">
        <w:rPr>
          <w:rFonts w:ascii="Lato" w:hAnsi="Lato"/>
          <w:b/>
          <w:bCs/>
        </w:rPr>
        <w:t xml:space="preserve">3. </w:t>
      </w:r>
      <w:r>
        <w:rPr>
          <w:rFonts w:ascii="Lato" w:hAnsi="Lato"/>
          <w:b/>
          <w:bCs/>
        </w:rPr>
        <w:tab/>
      </w:r>
      <w:r w:rsidRPr="00406940">
        <w:rPr>
          <w:rFonts w:ascii="Lato" w:hAnsi="Lato"/>
          <w:b/>
          <w:bCs/>
        </w:rPr>
        <w:t>Evidence Considered</w:t>
      </w:r>
    </w:p>
    <w:p w14:paraId="17FB51B4" w14:textId="77777777" w:rsidR="00FF4246" w:rsidRDefault="00FF4246" w:rsidP="00FF4246">
      <w:pPr>
        <w:spacing w:after="0" w:line="240" w:lineRule="auto"/>
        <w:rPr>
          <w:rFonts w:ascii="Lato" w:hAnsi="Lato"/>
        </w:rPr>
      </w:pPr>
    </w:p>
    <w:p w14:paraId="1F7A36CA" w14:textId="77777777" w:rsidR="00FF4246" w:rsidRPr="00406940" w:rsidRDefault="00FF4246" w:rsidP="00FF4246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3.1</w:t>
      </w:r>
      <w:r>
        <w:rPr>
          <w:rFonts w:ascii="Lato" w:hAnsi="Lato"/>
        </w:rPr>
        <w:tab/>
      </w:r>
      <w:r w:rsidRPr="00406940">
        <w:rPr>
          <w:rFonts w:ascii="Lato" w:hAnsi="Lato"/>
        </w:rPr>
        <w:t>Both parties have considered the following evidence in forming this Statement:</w:t>
      </w:r>
    </w:p>
    <w:p w14:paraId="2E94B967" w14:textId="77777777" w:rsidR="00FF4246" w:rsidRDefault="00FF4246" w:rsidP="00FF4246">
      <w:pPr>
        <w:spacing w:after="0" w:line="240" w:lineRule="auto"/>
        <w:ind w:left="720"/>
        <w:rPr>
          <w:rFonts w:ascii="Lato" w:hAnsi="Lato"/>
        </w:rPr>
      </w:pPr>
    </w:p>
    <w:p w14:paraId="1A996BFA" w14:textId="77777777" w:rsidR="00FF4246" w:rsidRDefault="00FF4246" w:rsidP="00FF4246">
      <w:pPr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9E3017">
        <w:rPr>
          <w:rFonts w:ascii="Lato" w:hAnsi="Lato"/>
        </w:rPr>
        <w:t>The scale and distribution of growth set out in the Sevenoaks District Local Plan;</w:t>
      </w:r>
    </w:p>
    <w:p w14:paraId="7E1EC73C" w14:textId="66F2A951" w:rsidR="00C02812" w:rsidRPr="00C02812" w:rsidRDefault="00C02812" w:rsidP="00C02812">
      <w:pPr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866641">
        <w:rPr>
          <w:rFonts w:ascii="Lato" w:hAnsi="Lato"/>
        </w:rPr>
        <w:t>The Infrastructure Delivery Plan</w:t>
      </w:r>
      <w:r w:rsidR="00E8041C">
        <w:rPr>
          <w:rFonts w:ascii="Lato" w:hAnsi="Lato"/>
        </w:rPr>
        <w:t xml:space="preserve"> 2026</w:t>
      </w:r>
      <w:r w:rsidRPr="00866641">
        <w:rPr>
          <w:rFonts w:ascii="Lato" w:hAnsi="Lato"/>
        </w:rPr>
        <w:t>;</w:t>
      </w:r>
    </w:p>
    <w:p w14:paraId="0AC29891" w14:textId="181AC48A" w:rsidR="008F35B5" w:rsidRPr="00BC79AD" w:rsidRDefault="007161C4" w:rsidP="008F35B5">
      <w:pPr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7A3B90">
        <w:rPr>
          <w:rFonts w:ascii="Lato" w:hAnsi="Lato"/>
        </w:rPr>
        <w:t>T</w:t>
      </w:r>
      <w:r w:rsidR="00C02812" w:rsidRPr="007A3B90">
        <w:rPr>
          <w:rFonts w:ascii="Lato" w:hAnsi="Lato"/>
        </w:rPr>
        <w:t>he level 2 Strategic Flood Risk Assessment (SFRA), including supporting modelling and mapping</w:t>
      </w:r>
      <w:r w:rsidR="008F35B5" w:rsidRPr="007A3B90">
        <w:rPr>
          <w:rFonts w:ascii="Lato" w:hAnsi="Lato"/>
        </w:rPr>
        <w:t xml:space="preserve">, </w:t>
      </w:r>
      <w:r w:rsidR="00034FEB" w:rsidRPr="00BC79AD">
        <w:rPr>
          <w:rFonts w:ascii="Lato" w:hAnsi="Lato"/>
        </w:rPr>
        <w:t>t</w:t>
      </w:r>
      <w:r w:rsidR="008F35B5" w:rsidRPr="00BC79AD">
        <w:rPr>
          <w:rFonts w:ascii="Lato" w:hAnsi="Lato"/>
        </w:rPr>
        <w:t>he application of the Sequential Test and, where necessary, the Exception Test, informed by the findings of the SFRA</w:t>
      </w:r>
      <w:r w:rsidR="007A3B90">
        <w:rPr>
          <w:rFonts w:ascii="Lato" w:hAnsi="Lato"/>
        </w:rPr>
        <w:t>;</w:t>
      </w:r>
    </w:p>
    <w:p w14:paraId="46FDFDBC" w14:textId="2329A343" w:rsidR="007161C4" w:rsidRDefault="00C02812" w:rsidP="00FF4246">
      <w:pPr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C02812">
        <w:rPr>
          <w:rFonts w:ascii="Lato" w:hAnsi="Lato"/>
        </w:rPr>
        <w:t>National and local policy and guidance, including the National Planning Policy Framework (NPPF), Planning Practice Guidance (PPG), and Environment Agency guidance</w:t>
      </w:r>
      <w:r w:rsidR="007161C4">
        <w:rPr>
          <w:rFonts w:ascii="Lato" w:hAnsi="Lato"/>
        </w:rPr>
        <w:t>; and</w:t>
      </w:r>
    </w:p>
    <w:p w14:paraId="0E8D1596" w14:textId="26007635" w:rsidR="00FF4246" w:rsidRPr="007161C4" w:rsidRDefault="007161C4" w:rsidP="00FF4246">
      <w:pPr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7161C4">
        <w:rPr>
          <w:rFonts w:ascii="Lato" w:hAnsi="Lato"/>
        </w:rPr>
        <w:lastRenderedPageBreak/>
        <w:t>Information on flood risk and water environment constraints, including Environment Agency datasets and guidance</w:t>
      </w:r>
      <w:r>
        <w:rPr>
          <w:rFonts w:ascii="Lato" w:hAnsi="Lato"/>
        </w:rPr>
        <w:t>.</w:t>
      </w:r>
    </w:p>
    <w:p w14:paraId="6F0D6E53" w14:textId="77777777" w:rsidR="007161C4" w:rsidRDefault="007161C4" w:rsidP="00FF4246">
      <w:pPr>
        <w:spacing w:after="0" w:line="240" w:lineRule="auto"/>
        <w:rPr>
          <w:rFonts w:ascii="Lato" w:hAnsi="Lato"/>
          <w:b/>
          <w:bCs/>
        </w:rPr>
      </w:pPr>
    </w:p>
    <w:p w14:paraId="5581D543" w14:textId="77777777" w:rsidR="00FF4246" w:rsidRPr="00406940" w:rsidRDefault="00FF4246" w:rsidP="00FF4246">
      <w:pPr>
        <w:spacing w:after="0" w:line="240" w:lineRule="auto"/>
        <w:rPr>
          <w:rFonts w:ascii="Lato" w:hAnsi="Lato"/>
          <w:b/>
          <w:bCs/>
        </w:rPr>
      </w:pPr>
      <w:r w:rsidRPr="00406940">
        <w:rPr>
          <w:rFonts w:ascii="Lato" w:hAnsi="Lato"/>
          <w:b/>
          <w:bCs/>
        </w:rPr>
        <w:t xml:space="preserve">4. </w:t>
      </w:r>
      <w:r>
        <w:rPr>
          <w:rFonts w:ascii="Lato" w:hAnsi="Lato"/>
          <w:b/>
          <w:bCs/>
        </w:rPr>
        <w:tab/>
      </w:r>
      <w:r w:rsidRPr="00406940">
        <w:rPr>
          <w:rFonts w:ascii="Lato" w:hAnsi="Lato"/>
          <w:b/>
          <w:bCs/>
        </w:rPr>
        <w:t>Areas of Agreement</w:t>
      </w:r>
    </w:p>
    <w:p w14:paraId="70DF46E6" w14:textId="77777777" w:rsidR="00FF4246" w:rsidRDefault="00FF4246" w:rsidP="00FF4246">
      <w:pPr>
        <w:spacing w:after="0" w:line="240" w:lineRule="auto"/>
        <w:rPr>
          <w:rFonts w:ascii="Lato" w:hAnsi="Lato"/>
        </w:rPr>
      </w:pPr>
    </w:p>
    <w:p w14:paraId="40AFE469" w14:textId="5F80DCE7" w:rsidR="00FF4246" w:rsidRPr="001E71A9" w:rsidRDefault="00E710C8" w:rsidP="001E71A9">
      <w:pPr>
        <w:pStyle w:val="ListParagraph"/>
        <w:numPr>
          <w:ilvl w:val="1"/>
          <w:numId w:val="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 </w:t>
      </w:r>
      <w:r w:rsidR="00FF4246" w:rsidRPr="001E71A9">
        <w:rPr>
          <w:rFonts w:ascii="Lato" w:hAnsi="Lato"/>
        </w:rPr>
        <w:t xml:space="preserve">SDC and the </w:t>
      </w:r>
      <w:r w:rsidR="007161C4" w:rsidRPr="001E71A9">
        <w:rPr>
          <w:rFonts w:ascii="Lato" w:hAnsi="Lato"/>
        </w:rPr>
        <w:t>EA</w:t>
      </w:r>
      <w:r w:rsidR="00FF4246" w:rsidRPr="001E71A9">
        <w:rPr>
          <w:rFonts w:ascii="Lato" w:hAnsi="Lato"/>
        </w:rPr>
        <w:t xml:space="preserve"> agree that:</w:t>
      </w:r>
    </w:p>
    <w:p w14:paraId="36DA578D" w14:textId="77777777" w:rsidR="00FF4246" w:rsidRDefault="00FF4246" w:rsidP="00FF4246">
      <w:pPr>
        <w:spacing w:after="0" w:line="240" w:lineRule="auto"/>
        <w:ind w:left="720"/>
        <w:rPr>
          <w:rFonts w:ascii="Lato" w:hAnsi="Lato"/>
        </w:rPr>
      </w:pPr>
    </w:p>
    <w:p w14:paraId="4A9F04F5" w14:textId="3C98AF23" w:rsidR="007161C4" w:rsidRPr="001E71A9" w:rsidRDefault="000C7172" w:rsidP="001E71A9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Proportionate engagement has taken place between SDC and the EA </w:t>
      </w:r>
      <w:r w:rsidR="007161C4" w:rsidRPr="007161C4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in the preparation of the </w:t>
      </w:r>
      <w:r w:rsidR="007161C4" w:rsidRPr="001E71A9">
        <w:rPr>
          <w:rFonts w:ascii="Lato" w:eastAsia="Times New Roman" w:hAnsi="Lato" w:cs="Times New Roman"/>
          <w:kern w:val="0"/>
          <w:lang w:eastAsia="en-GB"/>
          <w14:ligatures w14:val="none"/>
        </w:rPr>
        <w:t>Sevenoaks District Local Plan</w:t>
      </w:r>
      <w:r>
        <w:rPr>
          <w:rFonts w:ascii="Lato" w:eastAsia="Times New Roman" w:hAnsi="Lato" w:cs="Times New Roman"/>
          <w:kern w:val="0"/>
          <w:lang w:eastAsia="en-GB"/>
          <w14:ligatures w14:val="none"/>
        </w:rPr>
        <w:t>,</w:t>
      </w:r>
      <w:r w:rsidR="007161C4" w:rsidRPr="001E71A9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r w:rsidRPr="000C7172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particularly </w:t>
      </w:r>
      <w:r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the </w:t>
      </w:r>
      <w:r w:rsidR="007161C4" w:rsidRPr="001E71A9">
        <w:rPr>
          <w:rFonts w:ascii="Lato" w:eastAsia="Times New Roman" w:hAnsi="Lato" w:cs="Times New Roman"/>
          <w:kern w:val="0"/>
          <w:lang w:eastAsia="en-GB"/>
          <w14:ligatures w14:val="none"/>
        </w:rPr>
        <w:t>proposed level of growth and its implications for flood risk and the water environment.</w:t>
      </w:r>
      <w:r w:rsidR="001E71A9" w:rsidRPr="001E71A9">
        <w:rPr>
          <w:rFonts w:ascii="Lato" w:hAnsi="Lato"/>
        </w:rPr>
        <w:br/>
      </w:r>
    </w:p>
    <w:p w14:paraId="0C678D3A" w14:textId="140D41D7" w:rsidR="002A32B1" w:rsidRDefault="001E71A9" w:rsidP="002A32B1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AB07D1">
        <w:rPr>
          <w:rFonts w:ascii="Lato" w:hAnsi="Lato"/>
        </w:rPr>
        <w:t xml:space="preserve">The </w:t>
      </w:r>
      <w:r w:rsidR="007161C4" w:rsidRPr="00AB07D1">
        <w:rPr>
          <w:rFonts w:ascii="Lato" w:hAnsi="Lato"/>
        </w:rPr>
        <w:t xml:space="preserve">methodology and approach to the preparation of the </w:t>
      </w:r>
      <w:r w:rsidR="000C7172" w:rsidRPr="00AB07D1">
        <w:rPr>
          <w:rFonts w:ascii="Lato" w:hAnsi="Lato"/>
        </w:rPr>
        <w:t>L</w:t>
      </w:r>
      <w:r w:rsidR="007161C4" w:rsidRPr="00AB07D1">
        <w:rPr>
          <w:rFonts w:ascii="Lato" w:hAnsi="Lato"/>
        </w:rPr>
        <w:t>evel 2 Strategic Flood Risk Assessment (SFRA)</w:t>
      </w:r>
      <w:r w:rsidR="00E8041C" w:rsidRPr="00AB07D1">
        <w:rPr>
          <w:rFonts w:ascii="Lato" w:hAnsi="Lato"/>
        </w:rPr>
        <w:t xml:space="preserve"> </w:t>
      </w:r>
      <w:r w:rsidR="00732B9C" w:rsidRPr="00AB07D1">
        <w:rPr>
          <w:rFonts w:ascii="Lato" w:hAnsi="Lato"/>
        </w:rPr>
        <w:t xml:space="preserve">are </w:t>
      </w:r>
      <w:r w:rsidR="00E8041C" w:rsidRPr="00AB07D1">
        <w:rPr>
          <w:rFonts w:ascii="Lato" w:hAnsi="Lato"/>
        </w:rPr>
        <w:t>reasonable and sound</w:t>
      </w:r>
      <w:r w:rsidR="00EF2ECD" w:rsidRPr="00AB07D1">
        <w:rPr>
          <w:rFonts w:ascii="Lato" w:hAnsi="Lato"/>
        </w:rPr>
        <w:t>.</w:t>
      </w:r>
      <w:r w:rsidR="002A32B1">
        <w:rPr>
          <w:rFonts w:ascii="Lato" w:hAnsi="Lato"/>
        </w:rPr>
        <w:t xml:space="preserve"> </w:t>
      </w:r>
      <w:r w:rsidR="00DB244F" w:rsidRPr="00BC79AD">
        <w:rPr>
          <w:rFonts w:ascii="Lato" w:hAnsi="Lato"/>
        </w:rPr>
        <w:t>Any</w:t>
      </w:r>
      <w:r w:rsidR="00DB244F" w:rsidRPr="007A3B90">
        <w:rPr>
          <w:rFonts w:ascii="Lato" w:hAnsi="Lato"/>
        </w:rPr>
        <w:t xml:space="preserve"> </w:t>
      </w:r>
      <w:r w:rsidR="00DB244F" w:rsidRPr="00BC79AD">
        <w:rPr>
          <w:rFonts w:ascii="Lato" w:hAnsi="Lato"/>
        </w:rPr>
        <w:t>d</w:t>
      </w:r>
      <w:r w:rsidR="002A32B1" w:rsidRPr="00BC79AD">
        <w:rPr>
          <w:rFonts w:ascii="Lato" w:hAnsi="Lato"/>
        </w:rPr>
        <w:t>evelopment should take account of the latest climate change allowances to ensure that flood risk is appropriately considered over the lifetime of development.</w:t>
      </w:r>
      <w:r w:rsidR="00BC79AD">
        <w:rPr>
          <w:rFonts w:ascii="Lato" w:hAnsi="Lato"/>
        </w:rPr>
        <w:br/>
      </w:r>
    </w:p>
    <w:p w14:paraId="64B5B45E" w14:textId="1E71296F" w:rsidR="00BC79AD" w:rsidRPr="00BC79AD" w:rsidRDefault="00BC79AD" w:rsidP="002A32B1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BC79AD">
        <w:rPr>
          <w:rFonts w:ascii="Lato" w:hAnsi="Lato"/>
        </w:rPr>
        <w:t>Both parties recognise that Natural Flood Management and catchment-based approaches can contribute to flood risk management whilst delivering wider environmental benefits, including improvements to biodiversity, water quality and ecosystem resilience.</w:t>
      </w:r>
    </w:p>
    <w:p w14:paraId="518E09A3" w14:textId="3C5602BD" w:rsidR="007161C4" w:rsidRPr="00AB07D1" w:rsidRDefault="007161C4" w:rsidP="00662AA3">
      <w:pPr>
        <w:spacing w:after="0" w:line="240" w:lineRule="auto"/>
        <w:rPr>
          <w:rFonts w:ascii="Lato" w:hAnsi="Lato"/>
        </w:rPr>
      </w:pPr>
    </w:p>
    <w:p w14:paraId="70090B39" w14:textId="37CFFFB8" w:rsidR="007161C4" w:rsidRPr="00AB07D1" w:rsidRDefault="00604EE3" w:rsidP="007161C4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proofErr w:type="gramStart"/>
      <w:r w:rsidRPr="00AB07D1">
        <w:rPr>
          <w:rFonts w:ascii="Lato" w:hAnsi="Lato"/>
        </w:rPr>
        <w:t>A number of</w:t>
      </w:r>
      <w:proofErr w:type="gramEnd"/>
      <w:r w:rsidRPr="00AB07D1">
        <w:rPr>
          <w:rFonts w:ascii="Lato" w:hAnsi="Lato"/>
        </w:rPr>
        <w:t xml:space="preserve"> projects listed in the 2019 Infrastructure Delivery Plan should be removed, including</w:t>
      </w:r>
      <w:r w:rsidR="00732B9C" w:rsidRPr="00AB07D1">
        <w:rPr>
          <w:rFonts w:ascii="Lato" w:hAnsi="Lato"/>
        </w:rPr>
        <w:t xml:space="preserve"> the Upper </w:t>
      </w:r>
      <w:proofErr w:type="spellStart"/>
      <w:r w:rsidR="00732B9C" w:rsidRPr="00AB07D1">
        <w:rPr>
          <w:rFonts w:ascii="Lato" w:hAnsi="Lato"/>
        </w:rPr>
        <w:t>Darent</w:t>
      </w:r>
      <w:proofErr w:type="spellEnd"/>
      <w:r w:rsidR="00732B9C" w:rsidRPr="00AB07D1">
        <w:rPr>
          <w:rFonts w:ascii="Lato" w:hAnsi="Lato"/>
        </w:rPr>
        <w:t xml:space="preserve"> Flood Alleviation Scheme and Brasted Floodplain Storage,</w:t>
      </w:r>
      <w:r w:rsidRPr="00AB07D1">
        <w:rPr>
          <w:rFonts w:ascii="Lato" w:hAnsi="Lato"/>
        </w:rPr>
        <w:t xml:space="preserve"> owing t</w:t>
      </w:r>
      <w:r w:rsidR="00732B9C" w:rsidRPr="00AB07D1">
        <w:rPr>
          <w:rFonts w:ascii="Lato" w:hAnsi="Lato"/>
        </w:rPr>
        <w:t>o limited flood risk benefit, lack of technical or economic viability, and the absence of confirmed funding.</w:t>
      </w:r>
      <w:r w:rsidR="001E71A9" w:rsidRPr="00AB07D1">
        <w:rPr>
          <w:rFonts w:ascii="Lato" w:hAnsi="Lato"/>
        </w:rPr>
        <w:br/>
      </w:r>
    </w:p>
    <w:p w14:paraId="1DDA4D13" w14:textId="0C2A99AD" w:rsidR="001E71A9" w:rsidRDefault="001E71A9" w:rsidP="007161C4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AB07D1">
        <w:rPr>
          <w:rFonts w:ascii="Lato" w:hAnsi="Lato"/>
        </w:rPr>
        <w:t>The identification and development of</w:t>
      </w:r>
      <w:r w:rsidRPr="001E71A9">
        <w:rPr>
          <w:rFonts w:ascii="Lato" w:hAnsi="Lato"/>
        </w:rPr>
        <w:t xml:space="preserve"> water environment and environmental infrastructure requirements within the Infrastructure Delivery Plan</w:t>
      </w:r>
      <w:r w:rsidR="00604EE3">
        <w:rPr>
          <w:rFonts w:ascii="Lato" w:hAnsi="Lato"/>
        </w:rPr>
        <w:t xml:space="preserve"> have been</w:t>
      </w:r>
      <w:r w:rsidRPr="001E71A9">
        <w:rPr>
          <w:rFonts w:ascii="Lato" w:hAnsi="Lato"/>
        </w:rPr>
        <w:t xml:space="preserve"> informed by available evidence, datasets, and relevant technical guidance.</w:t>
      </w:r>
    </w:p>
    <w:p w14:paraId="483D2488" w14:textId="77777777" w:rsidR="00FF4246" w:rsidRPr="00EF2ECD" w:rsidRDefault="00FF4246" w:rsidP="00EF2ECD">
      <w:pPr>
        <w:spacing w:after="0" w:line="240" w:lineRule="auto"/>
        <w:rPr>
          <w:rFonts w:ascii="Lato" w:hAnsi="Lato"/>
        </w:rPr>
      </w:pPr>
    </w:p>
    <w:p w14:paraId="05D757B5" w14:textId="1D7DF37A" w:rsidR="00EF2ECD" w:rsidRPr="00EF2ECD" w:rsidRDefault="00FF4246" w:rsidP="00EF2ECD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EF2ECD">
        <w:rPr>
          <w:rFonts w:ascii="Lato" w:hAnsi="Lato"/>
        </w:rPr>
        <w:t>The Infrastructure Delivery Plan correctly identifies where additional capacity may be required, including:</w:t>
      </w:r>
      <w:r w:rsidR="00EF2ECD" w:rsidRPr="00EF2ECD">
        <w:rPr>
          <w:rFonts w:ascii="Lato" w:hAnsi="Lato"/>
        </w:rPr>
        <w:br/>
      </w:r>
    </w:p>
    <w:p w14:paraId="482F3984" w14:textId="77777777" w:rsidR="00EF2ECD" w:rsidRDefault="00EF2ECD" w:rsidP="00EF2ECD">
      <w:pPr>
        <w:pStyle w:val="ListParagraph"/>
        <w:numPr>
          <w:ilvl w:val="0"/>
          <w:numId w:val="7"/>
        </w:numPr>
        <w:spacing w:after="0" w:line="240" w:lineRule="auto"/>
        <w:rPr>
          <w:rFonts w:ascii="Lato" w:hAnsi="Lato"/>
        </w:rPr>
      </w:pPr>
      <w:r w:rsidRPr="00EF2ECD">
        <w:rPr>
          <w:rFonts w:ascii="Lato" w:hAnsi="Lato"/>
        </w:rPr>
        <w:t>Measures to manage and mitigate the impacts of water resource demand, including those associated with abstraction;</w:t>
      </w:r>
    </w:p>
    <w:p w14:paraId="05D662FA" w14:textId="3DA50FEB" w:rsidR="00EF2ECD" w:rsidRPr="00EF2ECD" w:rsidRDefault="00EF2ECD" w:rsidP="00002D5E">
      <w:pPr>
        <w:pStyle w:val="ListParagraph"/>
        <w:numPr>
          <w:ilvl w:val="0"/>
          <w:numId w:val="7"/>
        </w:numPr>
        <w:spacing w:after="0" w:line="240" w:lineRule="auto"/>
        <w:ind w:left="1843" w:hanging="425"/>
        <w:rPr>
          <w:rFonts w:ascii="Lato" w:hAnsi="Lato"/>
        </w:rPr>
      </w:pPr>
      <w:r w:rsidRPr="00EF2ECD">
        <w:rPr>
          <w:rFonts w:ascii="Lato" w:hAnsi="Lato"/>
        </w:rPr>
        <w:t>River and habitat enhancement, including improvements to chalk streams and aquatic environments;</w:t>
      </w:r>
    </w:p>
    <w:p w14:paraId="1DA79245" w14:textId="6504B75D" w:rsidR="003C3FCE" w:rsidRDefault="00EF2ECD" w:rsidP="00EF2ECD">
      <w:pPr>
        <w:pStyle w:val="ListParagraph"/>
        <w:numPr>
          <w:ilvl w:val="0"/>
          <w:numId w:val="7"/>
        </w:numPr>
        <w:spacing w:after="0" w:line="240" w:lineRule="auto"/>
        <w:rPr>
          <w:rFonts w:ascii="Lato" w:hAnsi="Lato"/>
        </w:rPr>
      </w:pPr>
      <w:r w:rsidRPr="00EF2ECD">
        <w:rPr>
          <w:rFonts w:ascii="Lato" w:hAnsi="Lato"/>
        </w:rPr>
        <w:t xml:space="preserve">Landscape-scale environmental interventions, including nature recovery and green infrastructure; </w:t>
      </w:r>
      <w:r w:rsidR="004434CC">
        <w:rPr>
          <w:rFonts w:ascii="Lato" w:hAnsi="Lato"/>
        </w:rPr>
        <w:t>and</w:t>
      </w:r>
    </w:p>
    <w:p w14:paraId="7320218F" w14:textId="5D138511" w:rsidR="00FF4246" w:rsidRPr="00EF2ECD" w:rsidRDefault="00EF2ECD" w:rsidP="00EF2ECD">
      <w:pPr>
        <w:pStyle w:val="ListParagraph"/>
        <w:numPr>
          <w:ilvl w:val="0"/>
          <w:numId w:val="7"/>
        </w:numPr>
        <w:spacing w:after="0" w:line="240" w:lineRule="auto"/>
        <w:rPr>
          <w:rFonts w:ascii="Lato" w:hAnsi="Lato"/>
        </w:rPr>
      </w:pPr>
      <w:r w:rsidRPr="00EF2ECD">
        <w:rPr>
          <w:rFonts w:ascii="Lato" w:hAnsi="Lato"/>
        </w:rPr>
        <w:t>Wider measures to support water quality, biodiversity, and climate resilience.</w:t>
      </w:r>
    </w:p>
    <w:p w14:paraId="4E74096E" w14:textId="77777777" w:rsidR="00FF4246" w:rsidRDefault="00FF4246" w:rsidP="00FF4246">
      <w:pPr>
        <w:spacing w:after="0" w:line="240" w:lineRule="auto"/>
        <w:ind w:left="720"/>
        <w:rPr>
          <w:rFonts w:ascii="Lato" w:hAnsi="Lato"/>
        </w:rPr>
      </w:pPr>
    </w:p>
    <w:p w14:paraId="14C1A810" w14:textId="42FA79E2" w:rsidR="0032512F" w:rsidRDefault="00FF4246" w:rsidP="0032512F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Lato" w:hAnsi="Lato"/>
        </w:rPr>
      </w:pPr>
      <w:r w:rsidRPr="00EF2ECD">
        <w:rPr>
          <w:rFonts w:ascii="Lato" w:hAnsi="Lato"/>
        </w:rPr>
        <w:t xml:space="preserve">Both authorities are committed to ongoing engagement throughout the plan period, including regular review and updating of the Infrastructure </w:t>
      </w:r>
      <w:r w:rsidRPr="0032512F">
        <w:rPr>
          <w:rFonts w:ascii="Lato" w:hAnsi="Lato"/>
        </w:rPr>
        <w:lastRenderedPageBreak/>
        <w:t>Delivery Plan to ensure it remains accurate, up to date and reflective of emerging evidence.</w:t>
      </w:r>
      <w:r w:rsidR="0032512F">
        <w:rPr>
          <w:rFonts w:ascii="Lato" w:hAnsi="Lato"/>
        </w:rPr>
        <w:br/>
      </w:r>
    </w:p>
    <w:p w14:paraId="25E56D44" w14:textId="3AA7EB7F" w:rsidR="00FF4246" w:rsidRPr="0032512F" w:rsidRDefault="00FF4246" w:rsidP="0032512F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Lato" w:hAnsi="Lato"/>
        </w:rPr>
      </w:pPr>
      <w:r w:rsidRPr="0032512F">
        <w:rPr>
          <w:rFonts w:ascii="Lato" w:hAnsi="Lato"/>
        </w:rPr>
        <w:t xml:space="preserve">The projects identified are deliverable in principle, </w:t>
      </w:r>
      <w:r w:rsidR="0032512F" w:rsidRPr="0032512F">
        <w:rPr>
          <w:rFonts w:ascii="Lato" w:hAnsi="Lato"/>
        </w:rPr>
        <w:t xml:space="preserve">subject to further development and refinement, including the availability of funding and coordination with </w:t>
      </w:r>
      <w:r w:rsidR="0032512F">
        <w:rPr>
          <w:rFonts w:ascii="Lato" w:hAnsi="Lato"/>
        </w:rPr>
        <w:t xml:space="preserve">relevant </w:t>
      </w:r>
      <w:r w:rsidR="0032512F" w:rsidRPr="0032512F">
        <w:rPr>
          <w:rFonts w:ascii="Lato" w:hAnsi="Lato"/>
        </w:rPr>
        <w:t>third-party organisations and infrastructure providers.</w:t>
      </w:r>
    </w:p>
    <w:p w14:paraId="6D9D97DA" w14:textId="77777777" w:rsidR="00FF4246" w:rsidRPr="0032512F" w:rsidRDefault="00FF4246" w:rsidP="00FF4246">
      <w:pPr>
        <w:tabs>
          <w:tab w:val="num" w:pos="720"/>
        </w:tabs>
        <w:spacing w:after="0" w:line="240" w:lineRule="auto"/>
        <w:ind w:left="1440"/>
        <w:rPr>
          <w:rFonts w:ascii="Lato" w:hAnsi="Lato"/>
        </w:rPr>
      </w:pPr>
    </w:p>
    <w:p w14:paraId="51D77158" w14:textId="487D6309" w:rsidR="00FF4246" w:rsidRPr="0032512F" w:rsidRDefault="00FF4246" w:rsidP="00FF424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Lato" w:hAnsi="Lato"/>
        </w:rPr>
      </w:pPr>
      <w:r w:rsidRPr="0032512F">
        <w:rPr>
          <w:rFonts w:ascii="Lato" w:hAnsi="Lato"/>
        </w:rPr>
        <w:t xml:space="preserve">SDC and the </w:t>
      </w:r>
      <w:r w:rsidR="00EF2ECD" w:rsidRPr="0032512F">
        <w:rPr>
          <w:rFonts w:ascii="Lato" w:hAnsi="Lato"/>
        </w:rPr>
        <w:t>EA</w:t>
      </w:r>
      <w:r w:rsidRPr="0032512F">
        <w:rPr>
          <w:rFonts w:ascii="Lato" w:hAnsi="Lato"/>
        </w:rPr>
        <w:t xml:space="preserve"> will continue to work collaboratively on planning applications to secure appropriate developer contributions and ensure timely delivery of required </w:t>
      </w:r>
      <w:r w:rsidR="0032512F" w:rsidRPr="0032512F">
        <w:rPr>
          <w:rFonts w:ascii="Lato" w:hAnsi="Lato"/>
        </w:rPr>
        <w:t>water environment and environmental</w:t>
      </w:r>
      <w:r w:rsidR="002F233C">
        <w:rPr>
          <w:rFonts w:ascii="Lato" w:hAnsi="Lato"/>
        </w:rPr>
        <w:t xml:space="preserve"> </w:t>
      </w:r>
      <w:r w:rsidRPr="0032512F">
        <w:rPr>
          <w:rFonts w:ascii="Lato" w:hAnsi="Lato"/>
        </w:rPr>
        <w:t>infrastructure.</w:t>
      </w:r>
    </w:p>
    <w:p w14:paraId="51240D37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6F1BE56C" w14:textId="77777777" w:rsidR="00FF4246" w:rsidRPr="00406940" w:rsidRDefault="00FF4246" w:rsidP="00FF4246">
      <w:pPr>
        <w:spacing w:after="0" w:line="240" w:lineRule="auto"/>
        <w:rPr>
          <w:rFonts w:ascii="Lato" w:hAnsi="Lato"/>
          <w:b/>
          <w:bCs/>
        </w:rPr>
      </w:pPr>
      <w:r w:rsidRPr="00406940">
        <w:rPr>
          <w:rFonts w:ascii="Lato" w:hAnsi="Lato"/>
          <w:b/>
          <w:bCs/>
        </w:rPr>
        <w:t xml:space="preserve">5. </w:t>
      </w:r>
      <w:r>
        <w:rPr>
          <w:rFonts w:ascii="Lato" w:hAnsi="Lato"/>
          <w:b/>
          <w:bCs/>
        </w:rPr>
        <w:tab/>
      </w:r>
      <w:r w:rsidRPr="00406940">
        <w:rPr>
          <w:rFonts w:ascii="Lato" w:hAnsi="Lato"/>
          <w:b/>
          <w:bCs/>
        </w:rPr>
        <w:t>Areas of Ongoing Work / Matters Not Yet Agreed</w:t>
      </w:r>
    </w:p>
    <w:p w14:paraId="1C3D5666" w14:textId="77777777" w:rsidR="00FF4246" w:rsidRDefault="00FF4246" w:rsidP="00FF4246">
      <w:pPr>
        <w:spacing w:after="0" w:line="240" w:lineRule="auto"/>
        <w:rPr>
          <w:rFonts w:ascii="Lato" w:hAnsi="Lato"/>
        </w:rPr>
      </w:pPr>
    </w:p>
    <w:p w14:paraId="78284BC3" w14:textId="77777777" w:rsidR="00FF4246" w:rsidRDefault="00FF4246" w:rsidP="00FF4246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5.1</w:t>
      </w:r>
      <w:r>
        <w:rPr>
          <w:rFonts w:ascii="Lato" w:hAnsi="Lato"/>
        </w:rPr>
        <w:tab/>
      </w:r>
      <w:r w:rsidRPr="00406940">
        <w:rPr>
          <w:rFonts w:ascii="Lato" w:hAnsi="Lato"/>
        </w:rPr>
        <w:t>The following matters require further work or clarification:</w:t>
      </w:r>
    </w:p>
    <w:p w14:paraId="3CEF6755" w14:textId="77777777" w:rsidR="00FF4246" w:rsidRDefault="00FF4246" w:rsidP="00FF4246">
      <w:pPr>
        <w:spacing w:after="0" w:line="240" w:lineRule="auto"/>
        <w:rPr>
          <w:rFonts w:ascii="Lato" w:hAnsi="Lato"/>
        </w:rPr>
      </w:pPr>
    </w:p>
    <w:p w14:paraId="749FFD62" w14:textId="58C684E1" w:rsidR="00E710C8" w:rsidRPr="00E710C8" w:rsidRDefault="00E710C8" w:rsidP="00E710C8">
      <w:pPr>
        <w:pStyle w:val="ListParagraph"/>
        <w:numPr>
          <w:ilvl w:val="0"/>
          <w:numId w:val="5"/>
        </w:numPr>
        <w:spacing w:after="0" w:line="240" w:lineRule="auto"/>
        <w:rPr>
          <w:rFonts w:ascii="Lato" w:hAnsi="Lato"/>
        </w:rPr>
      </w:pPr>
      <w:r w:rsidRPr="00E710C8">
        <w:rPr>
          <w:rFonts w:ascii="Lato" w:hAnsi="Lato"/>
        </w:rPr>
        <w:t>Further development of the I</w:t>
      </w:r>
      <w:r w:rsidR="00604EE3">
        <w:rPr>
          <w:rFonts w:ascii="Lato" w:hAnsi="Lato"/>
        </w:rPr>
        <w:t>n</w:t>
      </w:r>
      <w:r w:rsidR="00732B9C">
        <w:rPr>
          <w:rFonts w:ascii="Lato" w:hAnsi="Lato"/>
        </w:rPr>
        <w:t>f</w:t>
      </w:r>
      <w:r w:rsidR="00604EE3">
        <w:rPr>
          <w:rFonts w:ascii="Lato" w:hAnsi="Lato"/>
        </w:rPr>
        <w:t xml:space="preserve">rastructure </w:t>
      </w:r>
      <w:r w:rsidRPr="00E710C8">
        <w:rPr>
          <w:rFonts w:ascii="Lato" w:hAnsi="Lato"/>
        </w:rPr>
        <w:t>D</w:t>
      </w:r>
      <w:r w:rsidR="00604EE3">
        <w:rPr>
          <w:rFonts w:ascii="Lato" w:hAnsi="Lato"/>
        </w:rPr>
        <w:t xml:space="preserve">elivery </w:t>
      </w:r>
      <w:r w:rsidRPr="00E710C8">
        <w:rPr>
          <w:rFonts w:ascii="Lato" w:hAnsi="Lato"/>
        </w:rPr>
        <w:t>P</w:t>
      </w:r>
      <w:r w:rsidR="00604EE3">
        <w:rPr>
          <w:rFonts w:ascii="Lato" w:hAnsi="Lato"/>
        </w:rPr>
        <w:t>lan</w:t>
      </w:r>
      <w:r w:rsidRPr="00E710C8">
        <w:rPr>
          <w:rFonts w:ascii="Lato" w:hAnsi="Lato"/>
        </w:rPr>
        <w:t xml:space="preserve"> in relation to water environment and environmental infrastructure requirements, including greater detail on the scope, timing, delivery mechanisms, and indicative costs of potential interventions</w:t>
      </w:r>
      <w:r>
        <w:rPr>
          <w:rFonts w:ascii="Lato" w:hAnsi="Lato"/>
        </w:rPr>
        <w:t>.</w:t>
      </w:r>
      <w:r>
        <w:rPr>
          <w:rFonts w:ascii="Lato" w:hAnsi="Lato"/>
        </w:rPr>
        <w:br/>
      </w:r>
    </w:p>
    <w:p w14:paraId="3158AEE5" w14:textId="105FB026" w:rsidR="00FF4246" w:rsidRPr="00E710C8" w:rsidRDefault="00E710C8" w:rsidP="00E710C8">
      <w:pPr>
        <w:pStyle w:val="ListParagraph"/>
        <w:numPr>
          <w:ilvl w:val="0"/>
          <w:numId w:val="5"/>
        </w:numPr>
        <w:spacing w:after="0" w:line="240" w:lineRule="auto"/>
        <w:rPr>
          <w:rFonts w:ascii="Lato" w:hAnsi="Lato"/>
        </w:rPr>
      </w:pPr>
      <w:r w:rsidRPr="00E710C8">
        <w:rPr>
          <w:rFonts w:ascii="Lato" w:hAnsi="Lato"/>
        </w:rPr>
        <w:t>Ongoing refinement of infrastructure requirements as further evidence becomes available and as delivery programmes and funding streams are confirmed.</w:t>
      </w:r>
      <w:r w:rsidRPr="00E710C8">
        <w:rPr>
          <w:rFonts w:ascii="Lato" w:hAnsi="Lato"/>
        </w:rPr>
        <w:br/>
      </w:r>
    </w:p>
    <w:p w14:paraId="324BC25B" w14:textId="77777777" w:rsidR="00FF4246" w:rsidRPr="00406940" w:rsidRDefault="00FF4246" w:rsidP="00FF4246">
      <w:pPr>
        <w:spacing w:after="0" w:line="240" w:lineRule="auto"/>
        <w:ind w:left="720" w:hanging="720"/>
        <w:rPr>
          <w:rFonts w:ascii="Lato" w:hAnsi="Lato"/>
        </w:rPr>
      </w:pPr>
      <w:r w:rsidRPr="00E710C8">
        <w:rPr>
          <w:rFonts w:ascii="Lato" w:hAnsi="Lato"/>
        </w:rPr>
        <w:t>5.2</w:t>
      </w:r>
      <w:r w:rsidRPr="00E710C8">
        <w:rPr>
          <w:rFonts w:ascii="Lato" w:hAnsi="Lato"/>
        </w:rPr>
        <w:tab/>
        <w:t>Both parties are committed to resolving these matters through continued engagement.</w:t>
      </w:r>
    </w:p>
    <w:p w14:paraId="1F6BEE6F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0AA6D5D8" w14:textId="77777777" w:rsidR="00FF4246" w:rsidRPr="00406940" w:rsidRDefault="00FF4246" w:rsidP="00FF4246">
      <w:pPr>
        <w:spacing w:after="0" w:line="240" w:lineRule="auto"/>
        <w:rPr>
          <w:rFonts w:ascii="Lato" w:hAnsi="Lato"/>
          <w:b/>
          <w:bCs/>
        </w:rPr>
      </w:pPr>
      <w:r w:rsidRPr="00406940">
        <w:rPr>
          <w:rFonts w:ascii="Lato" w:hAnsi="Lato"/>
          <w:b/>
          <w:bCs/>
        </w:rPr>
        <w:t xml:space="preserve">6. </w:t>
      </w:r>
      <w:r>
        <w:rPr>
          <w:rFonts w:ascii="Lato" w:hAnsi="Lato"/>
          <w:b/>
          <w:bCs/>
        </w:rPr>
        <w:tab/>
      </w:r>
      <w:r w:rsidRPr="00406940">
        <w:rPr>
          <w:rFonts w:ascii="Lato" w:hAnsi="Lato"/>
          <w:b/>
          <w:bCs/>
        </w:rPr>
        <w:t>Delivery and Phasing</w:t>
      </w:r>
    </w:p>
    <w:p w14:paraId="3D6677D1" w14:textId="77777777" w:rsidR="00FF4246" w:rsidRDefault="00FF4246" w:rsidP="00FF4246">
      <w:pPr>
        <w:spacing w:after="0" w:line="240" w:lineRule="auto"/>
        <w:rPr>
          <w:rFonts w:ascii="Lato" w:hAnsi="Lato"/>
        </w:rPr>
      </w:pPr>
    </w:p>
    <w:p w14:paraId="1F0F572F" w14:textId="20F18DE7" w:rsidR="00FF4246" w:rsidRPr="00FF4246" w:rsidRDefault="00FF4246" w:rsidP="00FF4246">
      <w:pPr>
        <w:spacing w:after="0" w:line="240" w:lineRule="auto"/>
        <w:ind w:left="720" w:hanging="720"/>
        <w:rPr>
          <w:rFonts w:ascii="Lato" w:hAnsi="Lato"/>
          <w:highlight w:val="yellow"/>
        </w:rPr>
      </w:pPr>
      <w:r>
        <w:rPr>
          <w:rFonts w:ascii="Lato" w:hAnsi="Lato"/>
        </w:rPr>
        <w:t>6.1</w:t>
      </w:r>
      <w:r>
        <w:rPr>
          <w:rFonts w:ascii="Lato" w:hAnsi="Lato"/>
        </w:rPr>
        <w:tab/>
      </w:r>
      <w:r w:rsidRPr="001C40BE">
        <w:rPr>
          <w:rFonts w:ascii="Lato" w:hAnsi="Lato"/>
        </w:rPr>
        <w:t xml:space="preserve">SDC and the </w:t>
      </w:r>
      <w:r w:rsidR="001C40BE" w:rsidRPr="001C40BE">
        <w:rPr>
          <w:rFonts w:ascii="Lato" w:hAnsi="Lato"/>
        </w:rPr>
        <w:t>EA</w:t>
      </w:r>
      <w:r w:rsidRPr="001C40BE">
        <w:rPr>
          <w:rFonts w:ascii="Lato" w:hAnsi="Lato"/>
        </w:rPr>
        <w:t xml:space="preserve"> acknowledge that the delivery of </w:t>
      </w:r>
      <w:r w:rsidR="001C40BE" w:rsidRPr="001C40BE">
        <w:rPr>
          <w:rFonts w:ascii="Lato" w:hAnsi="Lato"/>
        </w:rPr>
        <w:t xml:space="preserve">water environment and environmental infrastructure requirements </w:t>
      </w:r>
      <w:r w:rsidRPr="001C40BE">
        <w:rPr>
          <w:rFonts w:ascii="Lato" w:hAnsi="Lato"/>
        </w:rPr>
        <w:t>will depend on:</w:t>
      </w:r>
    </w:p>
    <w:p w14:paraId="2A9059C7" w14:textId="77777777" w:rsidR="00FF4246" w:rsidRPr="00FF4246" w:rsidRDefault="00FF4246" w:rsidP="00FF4246">
      <w:pPr>
        <w:spacing w:after="0" w:line="240" w:lineRule="auto"/>
        <w:ind w:left="720"/>
        <w:rPr>
          <w:rFonts w:ascii="Lato" w:hAnsi="Lato"/>
          <w:highlight w:val="yellow"/>
        </w:rPr>
      </w:pPr>
    </w:p>
    <w:p w14:paraId="7ED0E781" w14:textId="77777777" w:rsidR="00FF4246" w:rsidRPr="001C40BE" w:rsidRDefault="00FF4246" w:rsidP="00FF4246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Lato" w:hAnsi="Lato"/>
        </w:rPr>
      </w:pPr>
      <w:r w:rsidRPr="001C40BE">
        <w:rPr>
          <w:rFonts w:ascii="Lato" w:hAnsi="Lato"/>
        </w:rPr>
        <w:t>The timing and phasing of development;</w:t>
      </w:r>
    </w:p>
    <w:p w14:paraId="5F81D74B" w14:textId="03B11813" w:rsidR="001C40BE" w:rsidRPr="001C40BE" w:rsidRDefault="00FF4246" w:rsidP="001C40BE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Lato" w:hAnsi="Lato"/>
        </w:rPr>
      </w:pPr>
      <w:r w:rsidRPr="001C40BE">
        <w:rPr>
          <w:rFonts w:ascii="Lato" w:hAnsi="Lato"/>
        </w:rPr>
        <w:t xml:space="preserve">Availability </w:t>
      </w:r>
      <w:r w:rsidR="001C40BE" w:rsidRPr="001C40BE">
        <w:rPr>
          <w:rFonts w:ascii="Lato" w:hAnsi="Lato"/>
        </w:rPr>
        <w:t>of funding, including developer contributions where applicable;</w:t>
      </w:r>
    </w:p>
    <w:p w14:paraId="679077D7" w14:textId="2C525FFA" w:rsidR="001C40BE" w:rsidRDefault="001C40BE" w:rsidP="001C40BE">
      <w:pPr>
        <w:numPr>
          <w:ilvl w:val="0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T</w:t>
      </w:r>
      <w:r w:rsidRPr="001C40BE">
        <w:rPr>
          <w:rFonts w:ascii="Lato" w:hAnsi="Lato"/>
        </w:rPr>
        <w:t>he progression and refinement of infrastructure requirements to provide greater clarity on scope, timing, delivery mechanisms, and indicative costs; and</w:t>
      </w:r>
    </w:p>
    <w:p w14:paraId="3837ABEB" w14:textId="70AAE7EE" w:rsidR="00FF4246" w:rsidRPr="001C40BE" w:rsidRDefault="001C40BE" w:rsidP="001C40BE">
      <w:pPr>
        <w:numPr>
          <w:ilvl w:val="0"/>
          <w:numId w:val="3"/>
        </w:numPr>
        <w:spacing w:after="0" w:line="240" w:lineRule="auto"/>
        <w:rPr>
          <w:rFonts w:ascii="Lato" w:hAnsi="Lato"/>
        </w:rPr>
      </w:pPr>
      <w:r w:rsidRPr="001C40BE">
        <w:rPr>
          <w:rFonts w:ascii="Lato" w:hAnsi="Lato"/>
        </w:rPr>
        <w:t>Coordination with relevant third-party organisations and infrastructure providers.</w:t>
      </w:r>
    </w:p>
    <w:p w14:paraId="4ACB3142" w14:textId="77777777" w:rsidR="00FF4246" w:rsidRDefault="00FF4246" w:rsidP="00FF4246">
      <w:pPr>
        <w:spacing w:after="0" w:line="240" w:lineRule="auto"/>
        <w:rPr>
          <w:rFonts w:ascii="Lato" w:hAnsi="Lato"/>
        </w:rPr>
      </w:pPr>
    </w:p>
    <w:p w14:paraId="702D977A" w14:textId="4FB1CDDA" w:rsidR="00FF4246" w:rsidRPr="00406940" w:rsidRDefault="00FF4246" w:rsidP="00FF4246">
      <w:pPr>
        <w:spacing w:after="0" w:line="240" w:lineRule="auto"/>
        <w:ind w:left="720" w:hanging="720"/>
        <w:rPr>
          <w:rFonts w:ascii="Lato" w:hAnsi="Lato"/>
        </w:rPr>
      </w:pPr>
      <w:r>
        <w:rPr>
          <w:rFonts w:ascii="Lato" w:hAnsi="Lato"/>
        </w:rPr>
        <w:t>6.2</w:t>
      </w:r>
      <w:r>
        <w:rPr>
          <w:rFonts w:ascii="Lato" w:hAnsi="Lato"/>
        </w:rPr>
        <w:tab/>
      </w:r>
      <w:r w:rsidRPr="00406940">
        <w:rPr>
          <w:rFonts w:ascii="Lato" w:hAnsi="Lato"/>
        </w:rPr>
        <w:t xml:space="preserve">Indicative </w:t>
      </w:r>
      <w:r>
        <w:rPr>
          <w:rFonts w:ascii="Lato" w:hAnsi="Lato"/>
        </w:rPr>
        <w:t xml:space="preserve">delivery timescales are </w:t>
      </w:r>
      <w:r w:rsidRPr="00406940">
        <w:rPr>
          <w:rFonts w:ascii="Lato" w:hAnsi="Lato"/>
        </w:rPr>
        <w:t>set out in the I</w:t>
      </w:r>
      <w:r>
        <w:rPr>
          <w:rFonts w:ascii="Lato" w:hAnsi="Lato"/>
        </w:rPr>
        <w:t xml:space="preserve">nfrastructure </w:t>
      </w:r>
      <w:r w:rsidRPr="00406940">
        <w:rPr>
          <w:rFonts w:ascii="Lato" w:hAnsi="Lato"/>
        </w:rPr>
        <w:t>D</w:t>
      </w:r>
      <w:r>
        <w:rPr>
          <w:rFonts w:ascii="Lato" w:hAnsi="Lato"/>
        </w:rPr>
        <w:t xml:space="preserve">elivery </w:t>
      </w:r>
      <w:r w:rsidRPr="00406940">
        <w:rPr>
          <w:rFonts w:ascii="Lato" w:hAnsi="Lato"/>
        </w:rPr>
        <w:t>P</w:t>
      </w:r>
      <w:r>
        <w:rPr>
          <w:rFonts w:ascii="Lato" w:hAnsi="Lato"/>
        </w:rPr>
        <w:t>lan</w:t>
      </w:r>
      <w:r w:rsidRPr="00406940">
        <w:rPr>
          <w:rFonts w:ascii="Lato" w:hAnsi="Lato"/>
        </w:rPr>
        <w:t xml:space="preserve"> and will be refined as further information becomes available</w:t>
      </w:r>
      <w:r>
        <w:rPr>
          <w:rFonts w:ascii="Lato" w:hAnsi="Lato"/>
        </w:rPr>
        <w:t xml:space="preserve"> in due course</w:t>
      </w:r>
      <w:r w:rsidRPr="00406940">
        <w:rPr>
          <w:rFonts w:ascii="Lato" w:hAnsi="Lato"/>
        </w:rPr>
        <w:t>.</w:t>
      </w:r>
      <w:r w:rsidR="003E38FC">
        <w:rPr>
          <w:rFonts w:ascii="Lato" w:hAnsi="Lato"/>
        </w:rPr>
        <w:br/>
      </w:r>
      <w:r w:rsidR="003E38FC">
        <w:rPr>
          <w:rFonts w:ascii="Lato" w:hAnsi="Lato"/>
        </w:rPr>
        <w:br/>
      </w:r>
    </w:p>
    <w:p w14:paraId="20190FBE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7C7DBF91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  <w:r w:rsidRPr="00406940">
        <w:rPr>
          <w:rFonts w:ascii="Lato" w:hAnsi="Lato"/>
          <w:b/>
          <w:bCs/>
        </w:rPr>
        <w:lastRenderedPageBreak/>
        <w:t xml:space="preserve">7. </w:t>
      </w:r>
      <w:r>
        <w:rPr>
          <w:rFonts w:ascii="Lato" w:hAnsi="Lato"/>
          <w:b/>
          <w:bCs/>
        </w:rPr>
        <w:tab/>
      </w:r>
      <w:r w:rsidRPr="00406940">
        <w:rPr>
          <w:rFonts w:ascii="Lato" w:hAnsi="Lato"/>
          <w:b/>
          <w:bCs/>
        </w:rPr>
        <w:t>Signatures</w:t>
      </w:r>
    </w:p>
    <w:p w14:paraId="7F2B0BD1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F4246" w14:paraId="47A184C2" w14:textId="77777777" w:rsidTr="000F4871">
        <w:tc>
          <w:tcPr>
            <w:tcW w:w="3681" w:type="dxa"/>
          </w:tcPr>
          <w:p w14:paraId="317151BB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Signed on behalf of Sevenoaks District Council</w:t>
            </w:r>
          </w:p>
          <w:p w14:paraId="63592FB3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335" w:type="dxa"/>
          </w:tcPr>
          <w:p w14:paraId="6F87CBC7" w14:textId="76DB9081" w:rsidR="00FF4246" w:rsidRDefault="005B5B4A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  <w:noProof/>
              </w:rPr>
              <w:drawing>
                <wp:inline distT="0" distB="0" distL="0" distR="0" wp14:anchorId="6043A8CF" wp14:editId="6F4A8B6A">
                  <wp:extent cx="933450" cy="657100"/>
                  <wp:effectExtent l="0" t="0" r="0" b="0"/>
                  <wp:docPr id="298719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19182" name="Picture 29871918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10" cy="663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246" w14:paraId="10A37BDC" w14:textId="77777777" w:rsidTr="000F4871">
        <w:tc>
          <w:tcPr>
            <w:tcW w:w="3681" w:type="dxa"/>
          </w:tcPr>
          <w:p w14:paraId="1A6EDCDF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Name:</w:t>
            </w:r>
          </w:p>
          <w:p w14:paraId="2A1C1B0C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335" w:type="dxa"/>
          </w:tcPr>
          <w:p w14:paraId="13467281" w14:textId="172E6152" w:rsidR="00FF4246" w:rsidRDefault="005B5B4A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Richard Morris</w:t>
            </w:r>
          </w:p>
        </w:tc>
      </w:tr>
      <w:tr w:rsidR="00FF4246" w14:paraId="60F08096" w14:textId="77777777" w:rsidTr="000F4871">
        <w:tc>
          <w:tcPr>
            <w:tcW w:w="3681" w:type="dxa"/>
          </w:tcPr>
          <w:p w14:paraId="6AD354DA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Role:</w:t>
            </w:r>
          </w:p>
          <w:p w14:paraId="486B164C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335" w:type="dxa"/>
          </w:tcPr>
          <w:p w14:paraId="44D9B6E7" w14:textId="77777777" w:rsidR="005B5B4A" w:rsidRDefault="005B5B4A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Deputy Chief Executive and </w:t>
            </w:r>
          </w:p>
          <w:p w14:paraId="4F43390D" w14:textId="5B36153D" w:rsidR="00FF4246" w:rsidRDefault="005B5B4A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Corporate Director of Planning, Regulatory &amp; Environmental Services</w:t>
            </w:r>
          </w:p>
        </w:tc>
      </w:tr>
      <w:tr w:rsidR="00FF4246" w14:paraId="2CA41577" w14:textId="77777777" w:rsidTr="000F4871">
        <w:tc>
          <w:tcPr>
            <w:tcW w:w="3681" w:type="dxa"/>
          </w:tcPr>
          <w:p w14:paraId="0581E4AB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Date:</w:t>
            </w:r>
          </w:p>
          <w:p w14:paraId="632E365B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335" w:type="dxa"/>
          </w:tcPr>
          <w:p w14:paraId="7EE830C6" w14:textId="7D95D9AF" w:rsidR="00FF4246" w:rsidRDefault="005B5B4A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22.07.26</w:t>
            </w:r>
          </w:p>
        </w:tc>
      </w:tr>
    </w:tbl>
    <w:p w14:paraId="2DD841AF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5C5CAD0A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F4246" w14:paraId="5AF51FA1" w14:textId="77777777" w:rsidTr="000F4871">
        <w:tc>
          <w:tcPr>
            <w:tcW w:w="3681" w:type="dxa"/>
          </w:tcPr>
          <w:p w14:paraId="6A6749FF" w14:textId="6506E393" w:rsidR="00FF4246" w:rsidRPr="006C6DF5" w:rsidRDefault="00FF4246" w:rsidP="000F4871">
            <w:pPr>
              <w:rPr>
                <w:rFonts w:ascii="Lato" w:hAnsi="Lato"/>
                <w:b/>
                <w:bCs/>
              </w:rPr>
            </w:pPr>
            <w:r w:rsidRPr="006C6DF5">
              <w:rPr>
                <w:rFonts w:ascii="Lato" w:hAnsi="Lato"/>
                <w:b/>
                <w:bCs/>
              </w:rPr>
              <w:t xml:space="preserve">Signed on behalf of </w:t>
            </w:r>
            <w:r w:rsidR="00F62D43">
              <w:rPr>
                <w:rFonts w:ascii="Lato" w:hAnsi="Lato"/>
                <w:b/>
                <w:bCs/>
              </w:rPr>
              <w:t xml:space="preserve">the </w:t>
            </w:r>
            <w:r w:rsidR="0023502B">
              <w:rPr>
                <w:rFonts w:ascii="Lato" w:hAnsi="Lato"/>
                <w:b/>
                <w:bCs/>
              </w:rPr>
              <w:t>Environment Agency</w:t>
            </w:r>
          </w:p>
          <w:p w14:paraId="178EB506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335" w:type="dxa"/>
          </w:tcPr>
          <w:p w14:paraId="58C3648B" w14:textId="77777777" w:rsidR="00FF4246" w:rsidRDefault="00FF4246" w:rsidP="006E1ACF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FF4246" w14:paraId="1BB4C243" w14:textId="77777777" w:rsidTr="000F4871">
        <w:tc>
          <w:tcPr>
            <w:tcW w:w="3681" w:type="dxa"/>
          </w:tcPr>
          <w:p w14:paraId="08CB5C5A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Name:</w:t>
            </w:r>
          </w:p>
          <w:p w14:paraId="7CA29BA5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335" w:type="dxa"/>
          </w:tcPr>
          <w:p w14:paraId="66841FD0" w14:textId="29E8D488" w:rsidR="00FF4246" w:rsidRDefault="006E1ACF" w:rsidP="006E1ACF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Jennifer Wilson</w:t>
            </w:r>
          </w:p>
          <w:p w14:paraId="0539F691" w14:textId="77777777" w:rsidR="006E1ACF" w:rsidRDefault="006E1ACF" w:rsidP="006E1ACF">
            <w:pPr>
              <w:rPr>
                <w:rFonts w:ascii="Lato" w:hAnsi="Lato"/>
                <w:b/>
                <w:bCs/>
              </w:rPr>
            </w:pPr>
          </w:p>
        </w:tc>
      </w:tr>
      <w:tr w:rsidR="00FF4246" w14:paraId="5283AA4B" w14:textId="77777777" w:rsidTr="000F4871">
        <w:tc>
          <w:tcPr>
            <w:tcW w:w="3681" w:type="dxa"/>
          </w:tcPr>
          <w:p w14:paraId="008D56EA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Role:</w:t>
            </w:r>
          </w:p>
          <w:p w14:paraId="494C08ED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335" w:type="dxa"/>
          </w:tcPr>
          <w:p w14:paraId="04FF559A" w14:textId="4BC1F322" w:rsidR="00FF4246" w:rsidRDefault="006E1ACF" w:rsidP="006E1ACF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Planning Specialist</w:t>
            </w:r>
          </w:p>
        </w:tc>
      </w:tr>
      <w:tr w:rsidR="00FF4246" w14:paraId="7FC94B17" w14:textId="77777777" w:rsidTr="000F4871">
        <w:tc>
          <w:tcPr>
            <w:tcW w:w="3681" w:type="dxa"/>
          </w:tcPr>
          <w:p w14:paraId="2028E5AD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Date:</w:t>
            </w:r>
          </w:p>
          <w:p w14:paraId="5BFFDCF0" w14:textId="77777777" w:rsidR="00FF4246" w:rsidRDefault="00FF4246" w:rsidP="000F487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335" w:type="dxa"/>
          </w:tcPr>
          <w:p w14:paraId="01CBBAC8" w14:textId="5AF4BB65" w:rsidR="00FF4246" w:rsidRDefault="006E1ACF" w:rsidP="006E1ACF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21 July 2026</w:t>
            </w:r>
          </w:p>
        </w:tc>
      </w:tr>
    </w:tbl>
    <w:p w14:paraId="6852B9A6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48A915A8" w14:textId="77777777" w:rsidR="00FF4246" w:rsidRDefault="00FF4246" w:rsidP="00FF4246">
      <w:pPr>
        <w:spacing w:after="0" w:line="240" w:lineRule="auto"/>
        <w:rPr>
          <w:rFonts w:ascii="Lato" w:hAnsi="Lato"/>
          <w:b/>
          <w:bCs/>
        </w:rPr>
      </w:pPr>
    </w:p>
    <w:p w14:paraId="19B0ADA4" w14:textId="77777777" w:rsidR="00FF4246" w:rsidRPr="00406940" w:rsidRDefault="00FF4246" w:rsidP="00FF4246">
      <w:pPr>
        <w:spacing w:after="0" w:line="240" w:lineRule="auto"/>
        <w:rPr>
          <w:rFonts w:ascii="Lato" w:hAnsi="Lato"/>
        </w:rPr>
      </w:pPr>
    </w:p>
    <w:p w14:paraId="766E352E" w14:textId="77777777" w:rsidR="009E78F0" w:rsidRDefault="009E78F0"/>
    <w:sectPr w:rsidR="009E78F0" w:rsidSect="00FF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656"/>
    <w:multiLevelType w:val="multilevel"/>
    <w:tmpl w:val="F110B5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951D1"/>
    <w:multiLevelType w:val="hybridMultilevel"/>
    <w:tmpl w:val="1AB019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1771ED"/>
    <w:multiLevelType w:val="multilevel"/>
    <w:tmpl w:val="A0A45C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11C13B1C"/>
    <w:multiLevelType w:val="multilevel"/>
    <w:tmpl w:val="E3F610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B6418"/>
    <w:multiLevelType w:val="multilevel"/>
    <w:tmpl w:val="7172BB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6BEA3840"/>
    <w:multiLevelType w:val="multilevel"/>
    <w:tmpl w:val="776E5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8457DD"/>
    <w:multiLevelType w:val="multilevel"/>
    <w:tmpl w:val="0B006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2193920">
    <w:abstractNumId w:val="0"/>
  </w:num>
  <w:num w:numId="2" w16cid:durableId="1027563040">
    <w:abstractNumId w:val="4"/>
  </w:num>
  <w:num w:numId="3" w16cid:durableId="821198394">
    <w:abstractNumId w:val="3"/>
  </w:num>
  <w:num w:numId="4" w16cid:durableId="1849059582">
    <w:abstractNumId w:val="6"/>
  </w:num>
  <w:num w:numId="5" w16cid:durableId="2115442158">
    <w:abstractNumId w:val="2"/>
  </w:num>
  <w:num w:numId="6" w16cid:durableId="614363943">
    <w:abstractNumId w:val="5"/>
  </w:num>
  <w:num w:numId="7" w16cid:durableId="86528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46"/>
    <w:rsid w:val="00002233"/>
    <w:rsid w:val="00002D32"/>
    <w:rsid w:val="00002D5E"/>
    <w:rsid w:val="00003151"/>
    <w:rsid w:val="0000587B"/>
    <w:rsid w:val="00005D26"/>
    <w:rsid w:val="000077AE"/>
    <w:rsid w:val="00012C76"/>
    <w:rsid w:val="00021D51"/>
    <w:rsid w:val="00022AFA"/>
    <w:rsid w:val="00023CFF"/>
    <w:rsid w:val="00025C79"/>
    <w:rsid w:val="00026E04"/>
    <w:rsid w:val="00031416"/>
    <w:rsid w:val="00034FEB"/>
    <w:rsid w:val="00036CFC"/>
    <w:rsid w:val="00043A16"/>
    <w:rsid w:val="0004791E"/>
    <w:rsid w:val="00063E12"/>
    <w:rsid w:val="000640EC"/>
    <w:rsid w:val="000731B5"/>
    <w:rsid w:val="00073526"/>
    <w:rsid w:val="00075621"/>
    <w:rsid w:val="00075A53"/>
    <w:rsid w:val="0008122A"/>
    <w:rsid w:val="000820C6"/>
    <w:rsid w:val="00083E78"/>
    <w:rsid w:val="000845AF"/>
    <w:rsid w:val="0008745C"/>
    <w:rsid w:val="000875DE"/>
    <w:rsid w:val="00090747"/>
    <w:rsid w:val="000909B0"/>
    <w:rsid w:val="000A21A1"/>
    <w:rsid w:val="000A29D9"/>
    <w:rsid w:val="000A54E3"/>
    <w:rsid w:val="000A633E"/>
    <w:rsid w:val="000B026D"/>
    <w:rsid w:val="000B22A4"/>
    <w:rsid w:val="000B2F98"/>
    <w:rsid w:val="000C2C38"/>
    <w:rsid w:val="000C4385"/>
    <w:rsid w:val="000C7172"/>
    <w:rsid w:val="000D2A8A"/>
    <w:rsid w:val="000D57CB"/>
    <w:rsid w:val="000D58B7"/>
    <w:rsid w:val="000D5957"/>
    <w:rsid w:val="000D6274"/>
    <w:rsid w:val="000E2222"/>
    <w:rsid w:val="000E3EE4"/>
    <w:rsid w:val="000F0FE7"/>
    <w:rsid w:val="000F46CF"/>
    <w:rsid w:val="000F6412"/>
    <w:rsid w:val="000F693A"/>
    <w:rsid w:val="000F7838"/>
    <w:rsid w:val="00106397"/>
    <w:rsid w:val="00107396"/>
    <w:rsid w:val="0012675C"/>
    <w:rsid w:val="001324FE"/>
    <w:rsid w:val="00132F71"/>
    <w:rsid w:val="00136EE5"/>
    <w:rsid w:val="00141307"/>
    <w:rsid w:val="00141882"/>
    <w:rsid w:val="00144CC0"/>
    <w:rsid w:val="00152849"/>
    <w:rsid w:val="001542BE"/>
    <w:rsid w:val="0015444A"/>
    <w:rsid w:val="00154589"/>
    <w:rsid w:val="00156039"/>
    <w:rsid w:val="0016252A"/>
    <w:rsid w:val="0017152C"/>
    <w:rsid w:val="00181DF9"/>
    <w:rsid w:val="00183167"/>
    <w:rsid w:val="00183858"/>
    <w:rsid w:val="00186CCF"/>
    <w:rsid w:val="00186FB8"/>
    <w:rsid w:val="0019389B"/>
    <w:rsid w:val="0019404F"/>
    <w:rsid w:val="0019729F"/>
    <w:rsid w:val="001A2D0E"/>
    <w:rsid w:val="001B24DA"/>
    <w:rsid w:val="001B25AF"/>
    <w:rsid w:val="001B5539"/>
    <w:rsid w:val="001B678A"/>
    <w:rsid w:val="001B6A11"/>
    <w:rsid w:val="001C0F8A"/>
    <w:rsid w:val="001C1B6A"/>
    <w:rsid w:val="001C3BCD"/>
    <w:rsid w:val="001C40BE"/>
    <w:rsid w:val="001C703D"/>
    <w:rsid w:val="001D137B"/>
    <w:rsid w:val="001D1482"/>
    <w:rsid w:val="001D1DD2"/>
    <w:rsid w:val="001D7E2B"/>
    <w:rsid w:val="001E3617"/>
    <w:rsid w:val="001E37CA"/>
    <w:rsid w:val="001E5F6F"/>
    <w:rsid w:val="001E6CFF"/>
    <w:rsid w:val="001E71A9"/>
    <w:rsid w:val="001F1190"/>
    <w:rsid w:val="001F46CA"/>
    <w:rsid w:val="00203165"/>
    <w:rsid w:val="00203F24"/>
    <w:rsid w:val="002057F0"/>
    <w:rsid w:val="00215322"/>
    <w:rsid w:val="0022189B"/>
    <w:rsid w:val="00222776"/>
    <w:rsid w:val="002249E5"/>
    <w:rsid w:val="00231165"/>
    <w:rsid w:val="00232260"/>
    <w:rsid w:val="00232AEB"/>
    <w:rsid w:val="002343AC"/>
    <w:rsid w:val="0023502B"/>
    <w:rsid w:val="00237D60"/>
    <w:rsid w:val="00240197"/>
    <w:rsid w:val="00243482"/>
    <w:rsid w:val="00243857"/>
    <w:rsid w:val="0024385C"/>
    <w:rsid w:val="00243E5F"/>
    <w:rsid w:val="00253E37"/>
    <w:rsid w:val="00254953"/>
    <w:rsid w:val="002551F2"/>
    <w:rsid w:val="0025525D"/>
    <w:rsid w:val="00261FB1"/>
    <w:rsid w:val="002654C3"/>
    <w:rsid w:val="00266F40"/>
    <w:rsid w:val="00281D6A"/>
    <w:rsid w:val="0028258D"/>
    <w:rsid w:val="00283A5C"/>
    <w:rsid w:val="002844DA"/>
    <w:rsid w:val="002849D1"/>
    <w:rsid w:val="00286FBB"/>
    <w:rsid w:val="002906A3"/>
    <w:rsid w:val="002920D0"/>
    <w:rsid w:val="002A0D61"/>
    <w:rsid w:val="002A1BF2"/>
    <w:rsid w:val="002A2280"/>
    <w:rsid w:val="002A32B1"/>
    <w:rsid w:val="002A3F77"/>
    <w:rsid w:val="002A524E"/>
    <w:rsid w:val="002A63C8"/>
    <w:rsid w:val="002B6691"/>
    <w:rsid w:val="002C0FC2"/>
    <w:rsid w:val="002C1F5F"/>
    <w:rsid w:val="002C2002"/>
    <w:rsid w:val="002C40F4"/>
    <w:rsid w:val="002C4CAF"/>
    <w:rsid w:val="002D0EA4"/>
    <w:rsid w:val="002D1BF8"/>
    <w:rsid w:val="002D4BD8"/>
    <w:rsid w:val="002D50A3"/>
    <w:rsid w:val="002D5670"/>
    <w:rsid w:val="002D72DE"/>
    <w:rsid w:val="002E4087"/>
    <w:rsid w:val="002E4E34"/>
    <w:rsid w:val="002E6D41"/>
    <w:rsid w:val="002F1C0D"/>
    <w:rsid w:val="002F1D39"/>
    <w:rsid w:val="002F233C"/>
    <w:rsid w:val="002F6250"/>
    <w:rsid w:val="002F67E3"/>
    <w:rsid w:val="002F6C2F"/>
    <w:rsid w:val="00306C09"/>
    <w:rsid w:val="003117D2"/>
    <w:rsid w:val="00313C1D"/>
    <w:rsid w:val="00321EC0"/>
    <w:rsid w:val="0032328A"/>
    <w:rsid w:val="00323E49"/>
    <w:rsid w:val="0032512F"/>
    <w:rsid w:val="003301CC"/>
    <w:rsid w:val="003332C6"/>
    <w:rsid w:val="00346343"/>
    <w:rsid w:val="00352DFC"/>
    <w:rsid w:val="00357AF5"/>
    <w:rsid w:val="0036054C"/>
    <w:rsid w:val="00367260"/>
    <w:rsid w:val="003741EB"/>
    <w:rsid w:val="00386B76"/>
    <w:rsid w:val="00387558"/>
    <w:rsid w:val="00394DFB"/>
    <w:rsid w:val="0039510C"/>
    <w:rsid w:val="003A0692"/>
    <w:rsid w:val="003A2A09"/>
    <w:rsid w:val="003A4173"/>
    <w:rsid w:val="003A566B"/>
    <w:rsid w:val="003B16CA"/>
    <w:rsid w:val="003B1B3F"/>
    <w:rsid w:val="003B4C9A"/>
    <w:rsid w:val="003B7A43"/>
    <w:rsid w:val="003C3FCE"/>
    <w:rsid w:val="003D1269"/>
    <w:rsid w:val="003D1B9C"/>
    <w:rsid w:val="003D4003"/>
    <w:rsid w:val="003D46CC"/>
    <w:rsid w:val="003E2CD1"/>
    <w:rsid w:val="003E38FC"/>
    <w:rsid w:val="003E46FD"/>
    <w:rsid w:val="003F4B4D"/>
    <w:rsid w:val="003F63A9"/>
    <w:rsid w:val="003F7418"/>
    <w:rsid w:val="00401434"/>
    <w:rsid w:val="00401ADC"/>
    <w:rsid w:val="0040655C"/>
    <w:rsid w:val="004075F6"/>
    <w:rsid w:val="004114E4"/>
    <w:rsid w:val="00422F72"/>
    <w:rsid w:val="00426F34"/>
    <w:rsid w:val="00432823"/>
    <w:rsid w:val="00434768"/>
    <w:rsid w:val="00435C2D"/>
    <w:rsid w:val="004434CC"/>
    <w:rsid w:val="00447794"/>
    <w:rsid w:val="00450826"/>
    <w:rsid w:val="00450C7A"/>
    <w:rsid w:val="00454141"/>
    <w:rsid w:val="00457FC1"/>
    <w:rsid w:val="00466161"/>
    <w:rsid w:val="00467495"/>
    <w:rsid w:val="0046760A"/>
    <w:rsid w:val="004732F1"/>
    <w:rsid w:val="00473928"/>
    <w:rsid w:val="004753F3"/>
    <w:rsid w:val="0048008F"/>
    <w:rsid w:val="00481CCA"/>
    <w:rsid w:val="004862A4"/>
    <w:rsid w:val="00486A15"/>
    <w:rsid w:val="00487CF4"/>
    <w:rsid w:val="00492EF2"/>
    <w:rsid w:val="004954E1"/>
    <w:rsid w:val="004A384F"/>
    <w:rsid w:val="004A6952"/>
    <w:rsid w:val="004A72AB"/>
    <w:rsid w:val="004A7EFA"/>
    <w:rsid w:val="004B4347"/>
    <w:rsid w:val="004B5601"/>
    <w:rsid w:val="004C79F4"/>
    <w:rsid w:val="004C79F8"/>
    <w:rsid w:val="004D13F2"/>
    <w:rsid w:val="004D29AE"/>
    <w:rsid w:val="004D2E40"/>
    <w:rsid w:val="004E6CF6"/>
    <w:rsid w:val="004E7831"/>
    <w:rsid w:val="004F282A"/>
    <w:rsid w:val="004F452A"/>
    <w:rsid w:val="004F5784"/>
    <w:rsid w:val="004F736E"/>
    <w:rsid w:val="004F76C1"/>
    <w:rsid w:val="004F7B72"/>
    <w:rsid w:val="005049BA"/>
    <w:rsid w:val="0051105D"/>
    <w:rsid w:val="005142DD"/>
    <w:rsid w:val="00515AA1"/>
    <w:rsid w:val="00520E14"/>
    <w:rsid w:val="0052558E"/>
    <w:rsid w:val="00532488"/>
    <w:rsid w:val="00534509"/>
    <w:rsid w:val="00534ED8"/>
    <w:rsid w:val="00540A56"/>
    <w:rsid w:val="00542AA3"/>
    <w:rsid w:val="00543D98"/>
    <w:rsid w:val="005475AC"/>
    <w:rsid w:val="00550D01"/>
    <w:rsid w:val="00551FF1"/>
    <w:rsid w:val="00553900"/>
    <w:rsid w:val="00562D64"/>
    <w:rsid w:val="00565B47"/>
    <w:rsid w:val="00567C33"/>
    <w:rsid w:val="005731E8"/>
    <w:rsid w:val="00575207"/>
    <w:rsid w:val="0057549C"/>
    <w:rsid w:val="00575822"/>
    <w:rsid w:val="005758A2"/>
    <w:rsid w:val="005805AC"/>
    <w:rsid w:val="00582CD4"/>
    <w:rsid w:val="005858DC"/>
    <w:rsid w:val="005864C8"/>
    <w:rsid w:val="00590A0B"/>
    <w:rsid w:val="0059326E"/>
    <w:rsid w:val="005A0C48"/>
    <w:rsid w:val="005B0EF6"/>
    <w:rsid w:val="005B2560"/>
    <w:rsid w:val="005B5B4A"/>
    <w:rsid w:val="005C41F3"/>
    <w:rsid w:val="005C58B6"/>
    <w:rsid w:val="005D01B6"/>
    <w:rsid w:val="005D6089"/>
    <w:rsid w:val="005D6C6B"/>
    <w:rsid w:val="005E5645"/>
    <w:rsid w:val="005E5F7A"/>
    <w:rsid w:val="005F36AB"/>
    <w:rsid w:val="005F410C"/>
    <w:rsid w:val="005F5ADB"/>
    <w:rsid w:val="005F79CF"/>
    <w:rsid w:val="00604EE3"/>
    <w:rsid w:val="00607D84"/>
    <w:rsid w:val="00615F17"/>
    <w:rsid w:val="0063278D"/>
    <w:rsid w:val="00635536"/>
    <w:rsid w:val="00642690"/>
    <w:rsid w:val="00642FC1"/>
    <w:rsid w:val="00643EDC"/>
    <w:rsid w:val="0064747F"/>
    <w:rsid w:val="006474E7"/>
    <w:rsid w:val="00653D27"/>
    <w:rsid w:val="00657431"/>
    <w:rsid w:val="00657599"/>
    <w:rsid w:val="006609FD"/>
    <w:rsid w:val="00662AA3"/>
    <w:rsid w:val="006636F8"/>
    <w:rsid w:val="006649F7"/>
    <w:rsid w:val="006652C5"/>
    <w:rsid w:val="00667921"/>
    <w:rsid w:val="00673529"/>
    <w:rsid w:val="00673CDB"/>
    <w:rsid w:val="00682C11"/>
    <w:rsid w:val="0069041A"/>
    <w:rsid w:val="0069168E"/>
    <w:rsid w:val="006A2188"/>
    <w:rsid w:val="006A2E8B"/>
    <w:rsid w:val="006A32DC"/>
    <w:rsid w:val="006A55DF"/>
    <w:rsid w:val="006B02B0"/>
    <w:rsid w:val="006B5C39"/>
    <w:rsid w:val="006C3947"/>
    <w:rsid w:val="006C3BD9"/>
    <w:rsid w:val="006D1BE7"/>
    <w:rsid w:val="006D5514"/>
    <w:rsid w:val="006D652B"/>
    <w:rsid w:val="006E0D84"/>
    <w:rsid w:val="006E1ACF"/>
    <w:rsid w:val="006E305A"/>
    <w:rsid w:val="006E321F"/>
    <w:rsid w:val="006E7BA4"/>
    <w:rsid w:val="006F077A"/>
    <w:rsid w:val="006F56A1"/>
    <w:rsid w:val="0070165B"/>
    <w:rsid w:val="007072E8"/>
    <w:rsid w:val="00707761"/>
    <w:rsid w:val="007129FC"/>
    <w:rsid w:val="00714D32"/>
    <w:rsid w:val="007161C4"/>
    <w:rsid w:val="00716B19"/>
    <w:rsid w:val="0072261A"/>
    <w:rsid w:val="007229B8"/>
    <w:rsid w:val="00724B1A"/>
    <w:rsid w:val="00732B9C"/>
    <w:rsid w:val="00732D8E"/>
    <w:rsid w:val="00735935"/>
    <w:rsid w:val="007440D2"/>
    <w:rsid w:val="00753615"/>
    <w:rsid w:val="007607AD"/>
    <w:rsid w:val="007637C9"/>
    <w:rsid w:val="0076471A"/>
    <w:rsid w:val="00770E4C"/>
    <w:rsid w:val="0077162F"/>
    <w:rsid w:val="00781A12"/>
    <w:rsid w:val="00783E9D"/>
    <w:rsid w:val="00784CAF"/>
    <w:rsid w:val="00794C9E"/>
    <w:rsid w:val="0079592E"/>
    <w:rsid w:val="00795D2D"/>
    <w:rsid w:val="007961AA"/>
    <w:rsid w:val="007961EE"/>
    <w:rsid w:val="007A3B90"/>
    <w:rsid w:val="007A57C8"/>
    <w:rsid w:val="007A620E"/>
    <w:rsid w:val="007A6CBE"/>
    <w:rsid w:val="007B2849"/>
    <w:rsid w:val="007B3774"/>
    <w:rsid w:val="007B3EFD"/>
    <w:rsid w:val="007B54CE"/>
    <w:rsid w:val="007B6B32"/>
    <w:rsid w:val="007C44C9"/>
    <w:rsid w:val="007E1090"/>
    <w:rsid w:val="007E557E"/>
    <w:rsid w:val="007E6E57"/>
    <w:rsid w:val="007F16FA"/>
    <w:rsid w:val="007F2E01"/>
    <w:rsid w:val="007F49BC"/>
    <w:rsid w:val="007F519F"/>
    <w:rsid w:val="00800E7E"/>
    <w:rsid w:val="00814529"/>
    <w:rsid w:val="0083086B"/>
    <w:rsid w:val="008369F1"/>
    <w:rsid w:val="008429DF"/>
    <w:rsid w:val="00843977"/>
    <w:rsid w:val="00850B32"/>
    <w:rsid w:val="00853343"/>
    <w:rsid w:val="00855B96"/>
    <w:rsid w:val="008571A4"/>
    <w:rsid w:val="00857709"/>
    <w:rsid w:val="0086400C"/>
    <w:rsid w:val="00866631"/>
    <w:rsid w:val="00873607"/>
    <w:rsid w:val="00884CFC"/>
    <w:rsid w:val="008851EF"/>
    <w:rsid w:val="0088562A"/>
    <w:rsid w:val="00887938"/>
    <w:rsid w:val="00892811"/>
    <w:rsid w:val="0089404D"/>
    <w:rsid w:val="008A028F"/>
    <w:rsid w:val="008A60D6"/>
    <w:rsid w:val="008B40C5"/>
    <w:rsid w:val="008C2C38"/>
    <w:rsid w:val="008C3514"/>
    <w:rsid w:val="008C4D0F"/>
    <w:rsid w:val="008C68A0"/>
    <w:rsid w:val="008C7322"/>
    <w:rsid w:val="008D16FE"/>
    <w:rsid w:val="008D2351"/>
    <w:rsid w:val="008D2C9A"/>
    <w:rsid w:val="008D5613"/>
    <w:rsid w:val="008E007C"/>
    <w:rsid w:val="008F35B5"/>
    <w:rsid w:val="009024E2"/>
    <w:rsid w:val="00905109"/>
    <w:rsid w:val="00913EEB"/>
    <w:rsid w:val="00920C53"/>
    <w:rsid w:val="0092356C"/>
    <w:rsid w:val="0092439C"/>
    <w:rsid w:val="009260F4"/>
    <w:rsid w:val="00927337"/>
    <w:rsid w:val="009349D6"/>
    <w:rsid w:val="009429C8"/>
    <w:rsid w:val="009435FA"/>
    <w:rsid w:val="00943968"/>
    <w:rsid w:val="00951BEE"/>
    <w:rsid w:val="00957A4B"/>
    <w:rsid w:val="00960FCB"/>
    <w:rsid w:val="0096327F"/>
    <w:rsid w:val="00964A8C"/>
    <w:rsid w:val="00965FF3"/>
    <w:rsid w:val="00966A9C"/>
    <w:rsid w:val="009730BA"/>
    <w:rsid w:val="009773D2"/>
    <w:rsid w:val="009821D0"/>
    <w:rsid w:val="00982C05"/>
    <w:rsid w:val="009861CC"/>
    <w:rsid w:val="009866C4"/>
    <w:rsid w:val="00994A79"/>
    <w:rsid w:val="00996E81"/>
    <w:rsid w:val="009A01ED"/>
    <w:rsid w:val="009A213F"/>
    <w:rsid w:val="009A2613"/>
    <w:rsid w:val="009B1692"/>
    <w:rsid w:val="009B18E9"/>
    <w:rsid w:val="009C03F2"/>
    <w:rsid w:val="009C133C"/>
    <w:rsid w:val="009C2B76"/>
    <w:rsid w:val="009C3B68"/>
    <w:rsid w:val="009C6E6D"/>
    <w:rsid w:val="009D01A6"/>
    <w:rsid w:val="009D1B4D"/>
    <w:rsid w:val="009E3017"/>
    <w:rsid w:val="009E3560"/>
    <w:rsid w:val="009E5D49"/>
    <w:rsid w:val="009E71C5"/>
    <w:rsid w:val="009E78F0"/>
    <w:rsid w:val="009F0DD4"/>
    <w:rsid w:val="009F1861"/>
    <w:rsid w:val="00A007A7"/>
    <w:rsid w:val="00A06DE5"/>
    <w:rsid w:val="00A06EDB"/>
    <w:rsid w:val="00A12DDE"/>
    <w:rsid w:val="00A16530"/>
    <w:rsid w:val="00A168E8"/>
    <w:rsid w:val="00A21BF5"/>
    <w:rsid w:val="00A26A8C"/>
    <w:rsid w:val="00A26F46"/>
    <w:rsid w:val="00A30D3B"/>
    <w:rsid w:val="00A31451"/>
    <w:rsid w:val="00A36D9C"/>
    <w:rsid w:val="00A406C5"/>
    <w:rsid w:val="00A40764"/>
    <w:rsid w:val="00A416CF"/>
    <w:rsid w:val="00A41D5E"/>
    <w:rsid w:val="00A4527C"/>
    <w:rsid w:val="00A6090C"/>
    <w:rsid w:val="00A6184D"/>
    <w:rsid w:val="00A62107"/>
    <w:rsid w:val="00A62AA0"/>
    <w:rsid w:val="00A665B1"/>
    <w:rsid w:val="00A669F9"/>
    <w:rsid w:val="00A6734C"/>
    <w:rsid w:val="00A71BAC"/>
    <w:rsid w:val="00A74F9A"/>
    <w:rsid w:val="00A802B9"/>
    <w:rsid w:val="00A817F0"/>
    <w:rsid w:val="00A8413C"/>
    <w:rsid w:val="00A85446"/>
    <w:rsid w:val="00A85EB1"/>
    <w:rsid w:val="00A87EBA"/>
    <w:rsid w:val="00A90611"/>
    <w:rsid w:val="00A92325"/>
    <w:rsid w:val="00A92DCC"/>
    <w:rsid w:val="00A94207"/>
    <w:rsid w:val="00A94251"/>
    <w:rsid w:val="00A96A0F"/>
    <w:rsid w:val="00AA372C"/>
    <w:rsid w:val="00AB07D1"/>
    <w:rsid w:val="00AB321A"/>
    <w:rsid w:val="00AB3261"/>
    <w:rsid w:val="00AB57F3"/>
    <w:rsid w:val="00AD368C"/>
    <w:rsid w:val="00AD5F7D"/>
    <w:rsid w:val="00AE1388"/>
    <w:rsid w:val="00AE3C96"/>
    <w:rsid w:val="00AE4165"/>
    <w:rsid w:val="00AE7A2C"/>
    <w:rsid w:val="00AF220A"/>
    <w:rsid w:val="00AF2237"/>
    <w:rsid w:val="00AF711C"/>
    <w:rsid w:val="00AF7CC6"/>
    <w:rsid w:val="00B00DC1"/>
    <w:rsid w:val="00B07793"/>
    <w:rsid w:val="00B10D33"/>
    <w:rsid w:val="00B235A6"/>
    <w:rsid w:val="00B26358"/>
    <w:rsid w:val="00B264CC"/>
    <w:rsid w:val="00B31D10"/>
    <w:rsid w:val="00B330B9"/>
    <w:rsid w:val="00B36251"/>
    <w:rsid w:val="00B40326"/>
    <w:rsid w:val="00B40D31"/>
    <w:rsid w:val="00B43C54"/>
    <w:rsid w:val="00B51EA3"/>
    <w:rsid w:val="00B51EEB"/>
    <w:rsid w:val="00B53A1F"/>
    <w:rsid w:val="00B54AA9"/>
    <w:rsid w:val="00B5515E"/>
    <w:rsid w:val="00B62BF0"/>
    <w:rsid w:val="00B63BC1"/>
    <w:rsid w:val="00B71C11"/>
    <w:rsid w:val="00B7479A"/>
    <w:rsid w:val="00B75CD7"/>
    <w:rsid w:val="00B8107D"/>
    <w:rsid w:val="00B87257"/>
    <w:rsid w:val="00B87485"/>
    <w:rsid w:val="00B94B06"/>
    <w:rsid w:val="00B9753F"/>
    <w:rsid w:val="00BA4138"/>
    <w:rsid w:val="00BA53B7"/>
    <w:rsid w:val="00BB06C3"/>
    <w:rsid w:val="00BC1234"/>
    <w:rsid w:val="00BC79AD"/>
    <w:rsid w:val="00BD6B98"/>
    <w:rsid w:val="00BE5707"/>
    <w:rsid w:val="00BF0A87"/>
    <w:rsid w:val="00BF3578"/>
    <w:rsid w:val="00C00717"/>
    <w:rsid w:val="00C012F2"/>
    <w:rsid w:val="00C02812"/>
    <w:rsid w:val="00C10902"/>
    <w:rsid w:val="00C11662"/>
    <w:rsid w:val="00C12AF2"/>
    <w:rsid w:val="00C13893"/>
    <w:rsid w:val="00C15E69"/>
    <w:rsid w:val="00C21D20"/>
    <w:rsid w:val="00C22CE3"/>
    <w:rsid w:val="00C4190D"/>
    <w:rsid w:val="00C510D2"/>
    <w:rsid w:val="00C626A1"/>
    <w:rsid w:val="00C63C93"/>
    <w:rsid w:val="00C642CC"/>
    <w:rsid w:val="00C7062E"/>
    <w:rsid w:val="00C80C18"/>
    <w:rsid w:val="00C82085"/>
    <w:rsid w:val="00C8422B"/>
    <w:rsid w:val="00C85779"/>
    <w:rsid w:val="00C86E1A"/>
    <w:rsid w:val="00C873F3"/>
    <w:rsid w:val="00C90480"/>
    <w:rsid w:val="00C979AD"/>
    <w:rsid w:val="00CA040E"/>
    <w:rsid w:val="00CA3650"/>
    <w:rsid w:val="00CA4843"/>
    <w:rsid w:val="00CA4B72"/>
    <w:rsid w:val="00CB3887"/>
    <w:rsid w:val="00CB58AC"/>
    <w:rsid w:val="00CB5ED6"/>
    <w:rsid w:val="00CB674E"/>
    <w:rsid w:val="00CC5C6B"/>
    <w:rsid w:val="00CD13B9"/>
    <w:rsid w:val="00CD1C47"/>
    <w:rsid w:val="00CE1B84"/>
    <w:rsid w:val="00CE2E93"/>
    <w:rsid w:val="00CF1E47"/>
    <w:rsid w:val="00D016EC"/>
    <w:rsid w:val="00D044F4"/>
    <w:rsid w:val="00D0701A"/>
    <w:rsid w:val="00D121FD"/>
    <w:rsid w:val="00D12DF4"/>
    <w:rsid w:val="00D13829"/>
    <w:rsid w:val="00D26DF4"/>
    <w:rsid w:val="00D27E7B"/>
    <w:rsid w:val="00D35692"/>
    <w:rsid w:val="00D37224"/>
    <w:rsid w:val="00D45BE2"/>
    <w:rsid w:val="00D46ABF"/>
    <w:rsid w:val="00D46FF3"/>
    <w:rsid w:val="00D548C5"/>
    <w:rsid w:val="00D54CD1"/>
    <w:rsid w:val="00D56317"/>
    <w:rsid w:val="00D62B00"/>
    <w:rsid w:val="00D648EC"/>
    <w:rsid w:val="00D81F7F"/>
    <w:rsid w:val="00D82DC5"/>
    <w:rsid w:val="00D837D2"/>
    <w:rsid w:val="00D8518F"/>
    <w:rsid w:val="00D87280"/>
    <w:rsid w:val="00D91DF2"/>
    <w:rsid w:val="00D92A01"/>
    <w:rsid w:val="00D95714"/>
    <w:rsid w:val="00D95963"/>
    <w:rsid w:val="00D968E5"/>
    <w:rsid w:val="00D96FA7"/>
    <w:rsid w:val="00DA1637"/>
    <w:rsid w:val="00DA4DA9"/>
    <w:rsid w:val="00DB05CF"/>
    <w:rsid w:val="00DB0FC5"/>
    <w:rsid w:val="00DB244F"/>
    <w:rsid w:val="00DB4A02"/>
    <w:rsid w:val="00DC70FB"/>
    <w:rsid w:val="00DC7427"/>
    <w:rsid w:val="00DD3D7C"/>
    <w:rsid w:val="00DD6EAA"/>
    <w:rsid w:val="00DE5C6D"/>
    <w:rsid w:val="00DE61E0"/>
    <w:rsid w:val="00DF053F"/>
    <w:rsid w:val="00DF33D9"/>
    <w:rsid w:val="00DF5099"/>
    <w:rsid w:val="00DF6260"/>
    <w:rsid w:val="00E00517"/>
    <w:rsid w:val="00E031AE"/>
    <w:rsid w:val="00E039FE"/>
    <w:rsid w:val="00E0469A"/>
    <w:rsid w:val="00E06F11"/>
    <w:rsid w:val="00E156C7"/>
    <w:rsid w:val="00E23D3F"/>
    <w:rsid w:val="00E32F3E"/>
    <w:rsid w:val="00E40698"/>
    <w:rsid w:val="00E41958"/>
    <w:rsid w:val="00E42F68"/>
    <w:rsid w:val="00E47161"/>
    <w:rsid w:val="00E616D0"/>
    <w:rsid w:val="00E62AE6"/>
    <w:rsid w:val="00E710C8"/>
    <w:rsid w:val="00E73193"/>
    <w:rsid w:val="00E74D89"/>
    <w:rsid w:val="00E8041C"/>
    <w:rsid w:val="00E814A2"/>
    <w:rsid w:val="00E83B45"/>
    <w:rsid w:val="00E87138"/>
    <w:rsid w:val="00E87CF7"/>
    <w:rsid w:val="00E95576"/>
    <w:rsid w:val="00EA029D"/>
    <w:rsid w:val="00EA1175"/>
    <w:rsid w:val="00EA42EF"/>
    <w:rsid w:val="00EA527C"/>
    <w:rsid w:val="00EA60D6"/>
    <w:rsid w:val="00EB14B4"/>
    <w:rsid w:val="00EB6A75"/>
    <w:rsid w:val="00EC0365"/>
    <w:rsid w:val="00EC3DC5"/>
    <w:rsid w:val="00EC5614"/>
    <w:rsid w:val="00EC5A7D"/>
    <w:rsid w:val="00ED1AB2"/>
    <w:rsid w:val="00ED39D7"/>
    <w:rsid w:val="00ED4526"/>
    <w:rsid w:val="00EE35F7"/>
    <w:rsid w:val="00EE4443"/>
    <w:rsid w:val="00EF2ECD"/>
    <w:rsid w:val="00EF78A8"/>
    <w:rsid w:val="00F01789"/>
    <w:rsid w:val="00F030C0"/>
    <w:rsid w:val="00F075B5"/>
    <w:rsid w:val="00F07B7D"/>
    <w:rsid w:val="00F16B26"/>
    <w:rsid w:val="00F17C9D"/>
    <w:rsid w:val="00F20B64"/>
    <w:rsid w:val="00F31F4B"/>
    <w:rsid w:val="00F41934"/>
    <w:rsid w:val="00F427A8"/>
    <w:rsid w:val="00F454E9"/>
    <w:rsid w:val="00F47636"/>
    <w:rsid w:val="00F55580"/>
    <w:rsid w:val="00F61B82"/>
    <w:rsid w:val="00F62D43"/>
    <w:rsid w:val="00F720D6"/>
    <w:rsid w:val="00F727E4"/>
    <w:rsid w:val="00F8143E"/>
    <w:rsid w:val="00F83099"/>
    <w:rsid w:val="00F87D06"/>
    <w:rsid w:val="00F976C3"/>
    <w:rsid w:val="00FA7BB9"/>
    <w:rsid w:val="00FB4A99"/>
    <w:rsid w:val="00FB5322"/>
    <w:rsid w:val="00FC4393"/>
    <w:rsid w:val="00FC77F8"/>
    <w:rsid w:val="00FD5CA0"/>
    <w:rsid w:val="00FE3A75"/>
    <w:rsid w:val="00FE40EC"/>
    <w:rsid w:val="00FE5416"/>
    <w:rsid w:val="00FE6C53"/>
    <w:rsid w:val="00FE6CB3"/>
    <w:rsid w:val="00FF3A44"/>
    <w:rsid w:val="00FF3FA3"/>
    <w:rsid w:val="00FF4246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D888"/>
  <w15:chartTrackingRefBased/>
  <w15:docId w15:val="{67ED0A97-BE57-4670-A137-298CB149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4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2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42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0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041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Kan</dc:creator>
  <cp:keywords/>
  <dc:description/>
  <cp:lastModifiedBy>Sarah Carter</cp:lastModifiedBy>
  <cp:revision>2</cp:revision>
  <dcterms:created xsi:type="dcterms:W3CDTF">2026-07-22T13:28:00Z</dcterms:created>
  <dcterms:modified xsi:type="dcterms:W3CDTF">2026-07-22T13:28:00Z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f821296a-ab50-4d1b-9e3d-984e637650da</vt:lpwstr>
  </property>
</Properties>
</file>